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03C49C" w14:textId="4A7894E8" w:rsidR="00A91CE3" w:rsidRPr="002D4E94" w:rsidRDefault="001E1D66" w:rsidP="00067FC6">
      <w:pPr>
        <w:pBdr>
          <w:bottom w:val="single" w:sz="4" w:space="1" w:color="auto"/>
        </w:pBdr>
        <w:rPr>
          <w:sz w:val="48"/>
          <w:szCs w:val="48"/>
        </w:rPr>
      </w:pPr>
      <w:r>
        <w:rPr>
          <w:noProof/>
          <w:szCs w:val="24"/>
        </w:rPr>
        <w:drawing>
          <wp:anchor distT="0" distB="0" distL="114300" distR="114300" simplePos="0" relativeHeight="251658240" behindDoc="0" locked="1" layoutInCell="1" allowOverlap="1" wp14:anchorId="0DE56008" wp14:editId="3A73B649">
            <wp:simplePos x="0" y="0"/>
            <wp:positionH relativeFrom="column">
              <wp:posOffset>4343400</wp:posOffset>
            </wp:positionH>
            <wp:positionV relativeFrom="page">
              <wp:posOffset>333375</wp:posOffset>
            </wp:positionV>
            <wp:extent cx="1600200" cy="1536192"/>
            <wp:effectExtent l="0" t="0" r="0" b="698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SUSeal_BW_original.png"/>
                    <pic:cNvPicPr/>
                  </pic:nvPicPr>
                  <pic:blipFill>
                    <a:blip r:embed="rId11">
                      <a:extLst>
                        <a:ext uri="{28A0092B-C50C-407E-A947-70E740481C1C}">
                          <a14:useLocalDpi xmlns:a14="http://schemas.microsoft.com/office/drawing/2010/main" val="0"/>
                        </a:ext>
                      </a:extLst>
                    </a:blip>
                    <a:stretch>
                      <a:fillRect/>
                    </a:stretch>
                  </pic:blipFill>
                  <pic:spPr>
                    <a:xfrm>
                      <a:off x="0" y="0"/>
                      <a:ext cx="1600200" cy="1536192"/>
                    </a:xfrm>
                    <a:prstGeom prst="rect">
                      <a:avLst/>
                    </a:prstGeom>
                  </pic:spPr>
                </pic:pic>
              </a:graphicData>
            </a:graphic>
            <wp14:sizeRelH relativeFrom="page">
              <wp14:pctWidth>0</wp14:pctWidth>
            </wp14:sizeRelH>
            <wp14:sizeRelV relativeFrom="page">
              <wp14:pctHeight>0</wp14:pctHeight>
            </wp14:sizeRelV>
          </wp:anchor>
        </w:drawing>
      </w:r>
      <w:r w:rsidR="00FC52EE" w:rsidRPr="002D4E94">
        <w:rPr>
          <w:sz w:val="48"/>
          <w:szCs w:val="48"/>
        </w:rPr>
        <w:t>Dixie State University Policy</w:t>
      </w:r>
    </w:p>
    <w:p w14:paraId="2D03C4A0" w14:textId="1582BF17" w:rsidR="002614F8" w:rsidRPr="00305F04" w:rsidRDefault="00DD2D40" w:rsidP="002614F8">
      <w:pPr>
        <w:rPr>
          <w:sz w:val="36"/>
          <w:szCs w:val="36"/>
        </w:rPr>
      </w:pPr>
      <w:sdt>
        <w:sdtPr>
          <w:rPr>
            <w:sz w:val="36"/>
            <w:szCs w:val="36"/>
          </w:rPr>
          <w:alias w:val="#"/>
          <w:tag w:val="Policy_x0023_"/>
          <w:id w:val="676088247"/>
          <w:placeholder>
            <w:docPart w:val="DDDA40C794A94D63A1621CF39DEA788B"/>
          </w:placeholder>
          <w:dataBinding w:prefixMappings="xmlns:ns0='http://schemas.microsoft.com/office/2006/metadata/properties' xmlns:ns1='http://www.w3.org/2001/XMLSchema-instance' xmlns:ns2='http://schemas.microsoft.com/office/infopath/2007/PartnerControls' xmlns:ns3='ee3634ef-82ac-46bd-b44d-8a1806606827' " w:xpath="/ns0:properties[1]/documentManagement[1]/ns3:Policy_x0023_[1]" w:storeItemID="{E288DCD6-C93E-43ED-BE40-38F8BC678578}"/>
          <w:text/>
        </w:sdtPr>
        <w:sdtEndPr/>
        <w:sdtContent>
          <w:proofErr w:type="gramStart"/>
          <w:r w:rsidR="00135928">
            <w:rPr>
              <w:sz w:val="36"/>
              <w:szCs w:val="36"/>
            </w:rPr>
            <w:t>349</w:t>
          </w:r>
          <w:proofErr w:type="gramEnd"/>
        </w:sdtContent>
      </w:sdt>
      <w:r w:rsidR="00113EC2" w:rsidRPr="00305F04">
        <w:rPr>
          <w:sz w:val="36"/>
          <w:szCs w:val="36"/>
        </w:rPr>
        <w:t xml:space="preserve"> </w:t>
      </w:r>
      <w:sdt>
        <w:sdtPr>
          <w:rPr>
            <w:sz w:val="36"/>
            <w:szCs w:val="36"/>
          </w:rPr>
          <w:alias w:val="Title"/>
          <w:tag w:val=""/>
          <w:id w:val="-1269618355"/>
          <w:placeholder>
            <w:docPart w:val="6A1CD79452D044FC9551BC7A8061DF14"/>
          </w:placeholder>
          <w:dataBinding w:prefixMappings="xmlns:ns0='http://purl.org/dc/elements/1.1/' xmlns:ns1='http://schemas.openxmlformats.org/package/2006/metadata/core-properties' " w:xpath="/ns1:coreProperties[1]/ns0:title[1]" w:storeItemID="{6C3C8BC8-F283-45AE-878A-BAB7291924A1}"/>
          <w:text/>
        </w:sdtPr>
        <w:sdtEndPr/>
        <w:sdtContent>
          <w:r w:rsidR="00135928">
            <w:rPr>
              <w:sz w:val="36"/>
              <w:szCs w:val="36"/>
            </w:rPr>
            <w:t>Family and Medical Leave</w:t>
          </w:r>
        </w:sdtContent>
      </w:sdt>
    </w:p>
    <w:p w14:paraId="3DA81870" w14:textId="77777777" w:rsidR="00E2682D" w:rsidRDefault="00E2682D" w:rsidP="002614F8">
      <w:pPr>
        <w:rPr>
          <w:szCs w:val="24"/>
        </w:rPr>
      </w:pPr>
    </w:p>
    <w:p w14:paraId="2D03C4A1" w14:textId="77777777" w:rsidR="006A5A9D" w:rsidRDefault="006A5A9D" w:rsidP="006A5A9D">
      <w:pPr>
        <w:pStyle w:val="ListParagraph"/>
        <w:numPr>
          <w:ilvl w:val="0"/>
          <w:numId w:val="1"/>
        </w:numPr>
        <w:rPr>
          <w:szCs w:val="24"/>
        </w:rPr>
      </w:pPr>
      <w:r>
        <w:rPr>
          <w:szCs w:val="24"/>
        </w:rPr>
        <w:t>Purpose</w:t>
      </w:r>
    </w:p>
    <w:p w14:paraId="2D03C4A2" w14:textId="77777777" w:rsidR="006A5A9D" w:rsidRDefault="006A5A9D" w:rsidP="006A5A9D">
      <w:pPr>
        <w:pStyle w:val="ListParagraph"/>
        <w:numPr>
          <w:ilvl w:val="0"/>
          <w:numId w:val="1"/>
        </w:numPr>
        <w:rPr>
          <w:szCs w:val="24"/>
        </w:rPr>
      </w:pPr>
      <w:r>
        <w:rPr>
          <w:szCs w:val="24"/>
        </w:rPr>
        <w:t>Scope</w:t>
      </w:r>
    </w:p>
    <w:p w14:paraId="2D03C4A3" w14:textId="77777777" w:rsidR="006A5A9D" w:rsidRDefault="006A5A9D" w:rsidP="006A5A9D">
      <w:pPr>
        <w:pStyle w:val="ListParagraph"/>
        <w:numPr>
          <w:ilvl w:val="0"/>
          <w:numId w:val="1"/>
        </w:numPr>
        <w:rPr>
          <w:szCs w:val="24"/>
        </w:rPr>
      </w:pPr>
      <w:r>
        <w:rPr>
          <w:szCs w:val="24"/>
        </w:rPr>
        <w:t>Definitions</w:t>
      </w:r>
    </w:p>
    <w:p w14:paraId="2D03C4A4" w14:textId="77777777" w:rsidR="006A5A9D" w:rsidRDefault="006A5A9D" w:rsidP="006A5A9D">
      <w:pPr>
        <w:pStyle w:val="ListParagraph"/>
        <w:numPr>
          <w:ilvl w:val="0"/>
          <w:numId w:val="1"/>
        </w:numPr>
        <w:rPr>
          <w:szCs w:val="24"/>
        </w:rPr>
      </w:pPr>
      <w:r>
        <w:rPr>
          <w:szCs w:val="24"/>
        </w:rPr>
        <w:t>Policy</w:t>
      </w:r>
    </w:p>
    <w:p w14:paraId="2D03C4A5" w14:textId="77777777" w:rsidR="006A5A9D" w:rsidRDefault="006A5A9D" w:rsidP="006A5A9D">
      <w:pPr>
        <w:pStyle w:val="ListParagraph"/>
        <w:numPr>
          <w:ilvl w:val="0"/>
          <w:numId w:val="1"/>
        </w:numPr>
        <w:rPr>
          <w:szCs w:val="24"/>
        </w:rPr>
      </w:pPr>
      <w:r>
        <w:rPr>
          <w:szCs w:val="24"/>
        </w:rPr>
        <w:t>References</w:t>
      </w:r>
    </w:p>
    <w:p w14:paraId="2D03C4A6" w14:textId="77777777" w:rsidR="006A5A9D" w:rsidRDefault="006A5A9D" w:rsidP="002E41EC">
      <w:pPr>
        <w:pStyle w:val="ListParagraph"/>
        <w:numPr>
          <w:ilvl w:val="0"/>
          <w:numId w:val="1"/>
        </w:numPr>
        <w:rPr>
          <w:szCs w:val="24"/>
        </w:rPr>
      </w:pPr>
      <w:r w:rsidRPr="006A5A9D">
        <w:rPr>
          <w:szCs w:val="24"/>
        </w:rPr>
        <w:t>Procedures</w:t>
      </w:r>
    </w:p>
    <w:p w14:paraId="2D03C4A7" w14:textId="77777777" w:rsidR="006A5A9D" w:rsidRPr="006A5A9D" w:rsidRDefault="006A5A9D" w:rsidP="002E41EC">
      <w:pPr>
        <w:pStyle w:val="ListParagraph"/>
        <w:numPr>
          <w:ilvl w:val="0"/>
          <w:numId w:val="1"/>
        </w:numPr>
        <w:rPr>
          <w:szCs w:val="24"/>
        </w:rPr>
      </w:pPr>
      <w:r w:rsidRPr="006A5A9D">
        <w:rPr>
          <w:szCs w:val="24"/>
        </w:rPr>
        <w:t>Addenda</w:t>
      </w:r>
    </w:p>
    <w:p w14:paraId="2D03C4A8" w14:textId="77777777" w:rsidR="006A5A9D" w:rsidRDefault="006A5A9D" w:rsidP="002614F8">
      <w:pPr>
        <w:rPr>
          <w:szCs w:val="24"/>
        </w:rPr>
      </w:pPr>
    </w:p>
    <w:p w14:paraId="2D03C4A9" w14:textId="6C6901E5" w:rsidR="009203FC" w:rsidRDefault="002614F8" w:rsidP="00C10A16">
      <w:pPr>
        <w:pStyle w:val="chapterHeaders"/>
      </w:pPr>
      <w:r w:rsidRPr="002D4E94">
        <w:t>Purpose</w:t>
      </w:r>
    </w:p>
    <w:p w14:paraId="137A9EE3" w14:textId="3445E6B4" w:rsidR="00135928" w:rsidRPr="002D4E94" w:rsidRDefault="00135928" w:rsidP="00135928">
      <w:pPr>
        <w:pStyle w:val="customList"/>
      </w:pPr>
      <w:r>
        <w:t xml:space="preserve">In compliance with the Family and Medical Leave Act of 1993 </w:t>
      </w:r>
      <w:r w:rsidRPr="00135928">
        <w:rPr>
          <w:color w:val="FF0000"/>
        </w:rPr>
        <w:t>(FMLA)</w:t>
      </w:r>
      <w:r>
        <w:t xml:space="preserve">, Dixie State University </w:t>
      </w:r>
      <w:r w:rsidRPr="00135928">
        <w:rPr>
          <w:color w:val="FF0000"/>
        </w:rPr>
        <w:t>(DSU)</w:t>
      </w:r>
      <w:r>
        <w:t xml:space="preserve"> will provide its employee</w:t>
      </w:r>
      <w:r w:rsidR="00EC7AB4">
        <w:t>s</w:t>
      </w:r>
      <w:r>
        <w:t xml:space="preserve"> with family </w:t>
      </w:r>
      <w:r w:rsidR="00EC7AB4">
        <w:t xml:space="preserve">and </w:t>
      </w:r>
      <w:r>
        <w:t xml:space="preserve">medical leave </w:t>
      </w:r>
      <w:r w:rsidRPr="00135928">
        <w:rPr>
          <w:strike/>
          <w:highlight w:val="yellow"/>
        </w:rPr>
        <w:t>(FML)</w:t>
      </w:r>
      <w:r>
        <w:t>.</w:t>
      </w:r>
    </w:p>
    <w:p w14:paraId="2D03C4AA" w14:textId="7F02DB4E" w:rsidR="009203FC" w:rsidRPr="00135928" w:rsidRDefault="009203FC" w:rsidP="009203FC">
      <w:pPr>
        <w:pStyle w:val="chapterHeaders"/>
        <w:rPr>
          <w:b w:val="0"/>
        </w:rPr>
      </w:pPr>
      <w:r w:rsidRPr="002D4E94">
        <w:t>Scope</w:t>
      </w:r>
    </w:p>
    <w:p w14:paraId="63D446A0" w14:textId="0F31AD0A" w:rsidR="006F6962" w:rsidRPr="006F6962" w:rsidRDefault="00135928" w:rsidP="00135928">
      <w:pPr>
        <w:pStyle w:val="customList"/>
      </w:pPr>
      <w:r>
        <w:t xml:space="preserve">All employees who meet the applicable time-of-service requirements </w:t>
      </w:r>
      <w:r w:rsidRPr="00135928">
        <w:rPr>
          <w:strike/>
          <w:highlight w:val="yellow"/>
        </w:rPr>
        <w:t>(see section 3.1)</w:t>
      </w:r>
      <w:r w:rsidR="00EC7AB4">
        <w:t xml:space="preserve"> may be granted family </w:t>
      </w:r>
      <w:r>
        <w:t>medical leave.</w:t>
      </w:r>
      <w:r w:rsidR="006F6962">
        <w:rPr>
          <w:color w:val="0070C0"/>
        </w:rPr>
        <w:t xml:space="preserve"> </w:t>
      </w:r>
    </w:p>
    <w:p w14:paraId="2BA43486" w14:textId="2CDC7155" w:rsidR="00135928" w:rsidRPr="006F6962" w:rsidRDefault="006F6962" w:rsidP="006F6962">
      <w:pPr>
        <w:pStyle w:val="customList"/>
        <w:rPr>
          <w:color w:val="0070C0"/>
        </w:rPr>
      </w:pPr>
      <w:commentRangeStart w:id="0"/>
      <w:r w:rsidRPr="006F6962">
        <w:rPr>
          <w:color w:val="0070C0"/>
        </w:rPr>
        <w:t>For</w:t>
      </w:r>
      <w:commentRangeEnd w:id="0"/>
      <w:r>
        <w:rPr>
          <w:rStyle w:val="CommentReference"/>
        </w:rPr>
        <w:commentReference w:id="0"/>
      </w:r>
      <w:r w:rsidRPr="006F6962">
        <w:rPr>
          <w:color w:val="0070C0"/>
        </w:rPr>
        <w:t xml:space="preserve"> employees not eligible for family medical leave, the University will review business considerations and the individual circumstances involved.</w:t>
      </w:r>
    </w:p>
    <w:p w14:paraId="2D03C4AB" w14:textId="3A637621" w:rsidR="009203FC" w:rsidRPr="006F6962" w:rsidRDefault="009203FC" w:rsidP="009203FC">
      <w:pPr>
        <w:pStyle w:val="chapterHeaders"/>
        <w:rPr>
          <w:b w:val="0"/>
        </w:rPr>
      </w:pPr>
      <w:r w:rsidRPr="002D4E94">
        <w:t>Definitions</w:t>
      </w:r>
    </w:p>
    <w:p w14:paraId="5207B5F7" w14:textId="1CF20B64" w:rsidR="00561AA2" w:rsidRPr="002D4E94" w:rsidRDefault="00561AA2" w:rsidP="00561AA2">
      <w:pPr>
        <w:pStyle w:val="customList"/>
      </w:pPr>
      <w:r w:rsidRPr="006F6962">
        <w:rPr>
          <w:b/>
          <w:i/>
          <w:color w:val="FF0000"/>
        </w:rPr>
        <w:t>FMLA time-of-service requirements:</w:t>
      </w:r>
      <w:r w:rsidRPr="006F6962">
        <w:rPr>
          <w:color w:val="FF0000"/>
        </w:rPr>
        <w:t xml:space="preserve"> </w:t>
      </w:r>
      <w:r w:rsidR="00542564">
        <w:rPr>
          <w:color w:val="FF0000"/>
        </w:rPr>
        <w:t>the length of time needed</w:t>
      </w:r>
      <w:r w:rsidRPr="006F6962">
        <w:rPr>
          <w:color w:val="FF0000"/>
        </w:rPr>
        <w:t xml:space="preserve"> for employees to q</w:t>
      </w:r>
      <w:r w:rsidR="00542564">
        <w:rPr>
          <w:color w:val="FF0000"/>
        </w:rPr>
        <w:t>ualify for family medical leave.</w:t>
      </w:r>
      <w:r>
        <w:t xml:space="preserve"> </w:t>
      </w:r>
      <w:r w:rsidR="00542564">
        <w:t xml:space="preserve"> E</w:t>
      </w:r>
      <w:r w:rsidRPr="00561AA2">
        <w:t xml:space="preserve">mployees who have been employed </w:t>
      </w:r>
      <w:r w:rsidR="00EC7AB4" w:rsidRPr="00EC7AB4">
        <w:rPr>
          <w:color w:val="FF0000"/>
        </w:rPr>
        <w:t>at DSU</w:t>
      </w:r>
      <w:r w:rsidR="00EC7AB4">
        <w:t xml:space="preserve"> </w:t>
      </w:r>
      <w:r w:rsidRPr="00561AA2">
        <w:t>for at least one year and for at least 1,250 hours during the preceding twelve-month period</w:t>
      </w:r>
      <w:r>
        <w:rPr>
          <w:color w:val="0070C0"/>
        </w:rPr>
        <w:t xml:space="preserve"> </w:t>
      </w:r>
      <w:r w:rsidRPr="00561AA2">
        <w:rPr>
          <w:strike/>
          <w:highlight w:val="yellow"/>
        </w:rPr>
        <w:t>are eligible for family medical leave</w:t>
      </w:r>
      <w:r w:rsidRPr="00561AA2">
        <w:rPr>
          <w:color w:val="0070C0"/>
        </w:rPr>
        <w:t>.</w:t>
      </w:r>
    </w:p>
    <w:p w14:paraId="14B7A7E2" w14:textId="62F40C7C" w:rsidR="006F6962" w:rsidRDefault="006F6962" w:rsidP="006F6962">
      <w:pPr>
        <w:pStyle w:val="customList"/>
      </w:pPr>
      <w:r w:rsidRPr="00473114">
        <w:rPr>
          <w:b/>
          <w:i/>
        </w:rPr>
        <w:t>Intermittent leave:</w:t>
      </w:r>
      <w:r w:rsidRPr="00473114">
        <w:t xml:space="preserve"> leave that </w:t>
      </w:r>
      <w:proofErr w:type="gramStart"/>
      <w:r w:rsidRPr="00473114">
        <w:t>is not taken</w:t>
      </w:r>
      <w:proofErr w:type="gramEnd"/>
      <w:r w:rsidRPr="00473114">
        <w:t xml:space="preserve"> consecutively.</w:t>
      </w:r>
    </w:p>
    <w:p w14:paraId="478FE3E9" w14:textId="3F1C2AE3" w:rsidR="00335F1E" w:rsidRPr="007A7437" w:rsidRDefault="00335F1E" w:rsidP="006F6962">
      <w:pPr>
        <w:pStyle w:val="customList"/>
      </w:pPr>
      <w:commentRangeStart w:id="1"/>
      <w:r w:rsidRPr="00335F1E">
        <w:rPr>
          <w:b/>
          <w:i/>
          <w:color w:val="0070C0"/>
        </w:rPr>
        <w:t>Parent:</w:t>
      </w:r>
      <w:r w:rsidRPr="00335F1E">
        <w:rPr>
          <w:color w:val="0070C0"/>
        </w:rPr>
        <w:t xml:space="preserve"> </w:t>
      </w:r>
      <w:commentRangeEnd w:id="1"/>
      <w:r>
        <w:rPr>
          <w:rStyle w:val="CommentReference"/>
        </w:rPr>
        <w:commentReference w:id="1"/>
      </w:r>
      <w:r w:rsidRPr="00335F1E">
        <w:rPr>
          <w:color w:val="0070C0"/>
        </w:rPr>
        <w:t xml:space="preserve">for the purposes of this policy, </w:t>
      </w:r>
      <w:r>
        <w:rPr>
          <w:color w:val="0070C0"/>
        </w:rPr>
        <w:t>defined as</w:t>
      </w:r>
      <w:r w:rsidRPr="00335F1E">
        <w:rPr>
          <w:color w:val="0070C0"/>
        </w:rPr>
        <w:t xml:space="preserve"> the biological parent or an individual who stands or stood in loco parentis to the employee when the employee was a child.  This term does not include parents-in-law.</w:t>
      </w:r>
    </w:p>
    <w:p w14:paraId="36A6136B" w14:textId="0CB2D155" w:rsidR="007A7437" w:rsidRPr="00473114" w:rsidRDefault="007A7437" w:rsidP="006F6962">
      <w:pPr>
        <w:pStyle w:val="customList"/>
      </w:pPr>
      <w:commentRangeStart w:id="2"/>
      <w:r>
        <w:rPr>
          <w:b/>
          <w:i/>
          <w:color w:val="0070C0"/>
        </w:rPr>
        <w:t>Child</w:t>
      </w:r>
      <w:r w:rsidRPr="007A7437">
        <w:rPr>
          <w:b/>
          <w:i/>
          <w:color w:val="0070C0"/>
        </w:rPr>
        <w:t>:</w:t>
      </w:r>
      <w:commentRangeEnd w:id="2"/>
      <w:r>
        <w:rPr>
          <w:rStyle w:val="CommentReference"/>
        </w:rPr>
        <w:commentReference w:id="2"/>
      </w:r>
      <w:r w:rsidRPr="007A7437">
        <w:rPr>
          <w:color w:val="0070C0"/>
        </w:rPr>
        <w:t xml:space="preserve"> for the purposes of this policy, defined as the biological, ado</w:t>
      </w:r>
      <w:r w:rsidR="00EC7AB4">
        <w:rPr>
          <w:color w:val="0070C0"/>
        </w:rPr>
        <w:t>pted,</w:t>
      </w:r>
      <w:r w:rsidRPr="007A7437">
        <w:rPr>
          <w:color w:val="0070C0"/>
        </w:rPr>
        <w:t xml:space="preserve"> foster child</w:t>
      </w:r>
      <w:r w:rsidR="00EC7AB4">
        <w:rPr>
          <w:color w:val="0070C0"/>
        </w:rPr>
        <w:t xml:space="preserve">, </w:t>
      </w:r>
      <w:r w:rsidRPr="007A7437">
        <w:rPr>
          <w:color w:val="0070C0"/>
        </w:rPr>
        <w:t xml:space="preserve">stepchild, legal ward, or a child of a person standing in loco parentis, who is </w:t>
      </w:r>
      <w:proofErr w:type="gramStart"/>
      <w:r w:rsidRPr="007A7437">
        <w:rPr>
          <w:color w:val="0070C0"/>
        </w:rPr>
        <w:t>either under age</w:t>
      </w:r>
      <w:proofErr w:type="gramEnd"/>
      <w:r w:rsidRPr="007A7437">
        <w:rPr>
          <w:color w:val="0070C0"/>
        </w:rPr>
        <w:t xml:space="preserve"> 18, or </w:t>
      </w:r>
      <w:r w:rsidR="00EC7AB4">
        <w:rPr>
          <w:color w:val="0070C0"/>
        </w:rPr>
        <w:t xml:space="preserve">over </w:t>
      </w:r>
      <w:r w:rsidRPr="007A7437">
        <w:rPr>
          <w:color w:val="0070C0"/>
        </w:rPr>
        <w:t>age 18 and incapable of self-care because of a mental or physical disability.</w:t>
      </w:r>
    </w:p>
    <w:p w14:paraId="762D5D15" w14:textId="42C409DE" w:rsidR="006F6962" w:rsidRPr="00335F1E" w:rsidRDefault="006F6962" w:rsidP="006F6962">
      <w:pPr>
        <w:pStyle w:val="customList"/>
      </w:pPr>
      <w:r w:rsidRPr="00335F1E">
        <w:rPr>
          <w:b/>
          <w:i/>
        </w:rPr>
        <w:lastRenderedPageBreak/>
        <w:t>Reduced leave schedule:</w:t>
      </w:r>
      <w:r w:rsidRPr="00335F1E">
        <w:t xml:space="preserve"> a leave schedule that reduces the usual number of hours per workweek or hours per workday.</w:t>
      </w:r>
    </w:p>
    <w:p w14:paraId="2D03C4AC" w14:textId="0B131EE5" w:rsidR="009203FC" w:rsidRPr="006F6962" w:rsidRDefault="009203FC" w:rsidP="009203FC">
      <w:pPr>
        <w:pStyle w:val="chapterHeaders"/>
        <w:rPr>
          <w:b w:val="0"/>
        </w:rPr>
      </w:pPr>
      <w:r w:rsidRPr="002D4E94">
        <w:t>Policy</w:t>
      </w:r>
    </w:p>
    <w:p w14:paraId="7794FD8C" w14:textId="3464116D" w:rsidR="006F6962" w:rsidRPr="00271FF5" w:rsidRDefault="00473114" w:rsidP="006F6962">
      <w:pPr>
        <w:pStyle w:val="customList"/>
        <w:rPr>
          <w:color w:val="0070C0"/>
        </w:rPr>
      </w:pPr>
      <w:r w:rsidRPr="00473114">
        <w:rPr>
          <w:strike/>
          <w:highlight w:val="yellow"/>
        </w:rPr>
        <w:t>All</w:t>
      </w:r>
      <w:r>
        <w:t xml:space="preserve"> </w:t>
      </w:r>
      <w:commentRangeStart w:id="3"/>
      <w:r w:rsidR="006F6962" w:rsidRPr="00271FF5">
        <w:rPr>
          <w:color w:val="0070C0"/>
        </w:rPr>
        <w:t>Employees</w:t>
      </w:r>
      <w:commentRangeEnd w:id="3"/>
      <w:r w:rsidR="00271FF5">
        <w:rPr>
          <w:rStyle w:val="CommentReference"/>
        </w:rPr>
        <w:commentReference w:id="3"/>
      </w:r>
      <w:r w:rsidR="006F6962" w:rsidRPr="00271FF5">
        <w:rPr>
          <w:color w:val="0070C0"/>
        </w:rPr>
        <w:t xml:space="preserve"> who meet the </w:t>
      </w:r>
      <w:r w:rsidRPr="00271FF5">
        <w:rPr>
          <w:color w:val="0070C0"/>
        </w:rPr>
        <w:t xml:space="preserve">applicable time-of-service </w:t>
      </w:r>
      <w:r w:rsidR="006F6962" w:rsidRPr="00271FF5">
        <w:rPr>
          <w:color w:val="0070C0"/>
        </w:rPr>
        <w:t>requirements</w:t>
      </w:r>
      <w:r w:rsidR="006F6962">
        <w:t xml:space="preserve"> </w:t>
      </w:r>
      <w:r w:rsidRPr="00473114">
        <w:rPr>
          <w:strike/>
          <w:highlight w:val="yellow"/>
        </w:rPr>
        <w:t>(see section 3.1)</w:t>
      </w:r>
      <w:r>
        <w:t xml:space="preserve"> </w:t>
      </w:r>
      <w:r w:rsidR="006F6962" w:rsidRPr="00271FF5">
        <w:rPr>
          <w:color w:val="0070C0"/>
        </w:rPr>
        <w:t>may be granted a total of twelve weeks of unpaid and/or paid family leave</w:t>
      </w:r>
      <w:r w:rsidR="00EC7AB4" w:rsidRPr="00EC7AB4">
        <w:rPr>
          <w:color w:val="FF0000"/>
        </w:rPr>
        <w:t>, using</w:t>
      </w:r>
      <w:r w:rsidR="006F6962" w:rsidRPr="00271FF5">
        <w:rPr>
          <w:color w:val="0070C0"/>
        </w:rPr>
        <w:t xml:space="preserve"> </w:t>
      </w:r>
      <w:r w:rsidR="006F6962" w:rsidRPr="00EC7AB4">
        <w:rPr>
          <w:strike/>
          <w:highlight w:val="yellow"/>
        </w:rPr>
        <w:t>including</w:t>
      </w:r>
      <w:r w:rsidR="006F6962" w:rsidRPr="00271FF5">
        <w:rPr>
          <w:color w:val="0070C0"/>
        </w:rPr>
        <w:t xml:space="preserve"> accrued sick leave (and vacation</w:t>
      </w:r>
      <w:r w:rsidR="00335F1E">
        <w:rPr>
          <w:color w:val="0070C0"/>
        </w:rPr>
        <w:t xml:space="preserve"> </w:t>
      </w:r>
      <w:r w:rsidR="00335F1E" w:rsidRPr="00335F1E">
        <w:rPr>
          <w:color w:val="FF0000"/>
        </w:rPr>
        <w:t>or other</w:t>
      </w:r>
      <w:r w:rsidR="006F6962" w:rsidRPr="00271FF5">
        <w:rPr>
          <w:color w:val="0070C0"/>
        </w:rPr>
        <w:t xml:space="preserve"> leave if the employee elects to use vacation</w:t>
      </w:r>
      <w:r w:rsidR="00335F1E">
        <w:rPr>
          <w:color w:val="0070C0"/>
        </w:rPr>
        <w:t xml:space="preserve"> </w:t>
      </w:r>
      <w:r w:rsidR="00335F1E" w:rsidRPr="00335F1E">
        <w:rPr>
          <w:color w:val="FF0000"/>
        </w:rPr>
        <w:t>or other</w:t>
      </w:r>
      <w:r w:rsidR="006F6962" w:rsidRPr="00271FF5">
        <w:rPr>
          <w:color w:val="0070C0"/>
        </w:rPr>
        <w:t xml:space="preserve"> leave) combined, during any twelve-month period, for the following reasons:</w:t>
      </w:r>
    </w:p>
    <w:p w14:paraId="32AB3772" w14:textId="09A5EA6C" w:rsidR="006F6962" w:rsidRDefault="006F6962" w:rsidP="006F6962">
      <w:pPr>
        <w:pStyle w:val="customList"/>
        <w:numPr>
          <w:ilvl w:val="2"/>
          <w:numId w:val="8"/>
        </w:numPr>
        <w:rPr>
          <w:color w:val="0070C0"/>
        </w:rPr>
      </w:pPr>
      <w:r w:rsidRPr="00271FF5">
        <w:rPr>
          <w:color w:val="0070C0"/>
        </w:rPr>
        <w:t>The birth of an employee’s child and in order to care for the child;</w:t>
      </w:r>
      <w:r w:rsidR="00335F1E">
        <w:rPr>
          <w:color w:val="0070C0"/>
        </w:rPr>
        <w:t xml:space="preserve"> </w:t>
      </w:r>
      <w:commentRangeStart w:id="4"/>
      <w:r w:rsidR="00335F1E" w:rsidRPr="00335F1E">
        <w:rPr>
          <w:strike/>
          <w:highlight w:val="yellow"/>
        </w:rPr>
        <w:t>Non-</w:t>
      </w:r>
      <w:commentRangeEnd w:id="4"/>
      <w:r w:rsidR="00335F1E">
        <w:rPr>
          <w:rStyle w:val="CommentReference"/>
        </w:rPr>
        <w:commentReference w:id="4"/>
      </w:r>
      <w:r w:rsidR="00335F1E" w:rsidRPr="00335F1E">
        <w:rPr>
          <w:strike/>
          <w:highlight w:val="yellow"/>
        </w:rPr>
        <w:t>Faculty employees may take twelve weeks of FML on a continuous or intermittent basis related to the birth of a child.</w:t>
      </w:r>
    </w:p>
    <w:p w14:paraId="2F02A296" w14:textId="12FD3E3F" w:rsidR="006F6962" w:rsidRPr="00271FF5" w:rsidRDefault="006F6962" w:rsidP="006F6962">
      <w:pPr>
        <w:pStyle w:val="customList"/>
        <w:numPr>
          <w:ilvl w:val="2"/>
          <w:numId w:val="8"/>
        </w:numPr>
        <w:rPr>
          <w:color w:val="0070C0"/>
        </w:rPr>
      </w:pPr>
      <w:r w:rsidRPr="00271FF5">
        <w:rPr>
          <w:color w:val="0070C0"/>
        </w:rPr>
        <w:t>The placement of a child with the employee for adoption or foster care;</w:t>
      </w:r>
      <w:r w:rsidR="00335F1E">
        <w:rPr>
          <w:color w:val="0070C0"/>
        </w:rPr>
        <w:t xml:space="preserve"> </w:t>
      </w:r>
      <w:commentRangeStart w:id="5"/>
      <w:proofErr w:type="gramStart"/>
      <w:r w:rsidR="00335F1E" w:rsidRPr="00643097">
        <w:rPr>
          <w:strike/>
          <w:highlight w:val="yellow"/>
        </w:rPr>
        <w:t>The</w:t>
      </w:r>
      <w:commentRangeEnd w:id="5"/>
      <w:proofErr w:type="gramEnd"/>
      <w:r w:rsidR="00643097">
        <w:rPr>
          <w:rStyle w:val="CommentReference"/>
        </w:rPr>
        <w:commentReference w:id="5"/>
      </w:r>
      <w:r w:rsidR="00335F1E" w:rsidRPr="00643097">
        <w:rPr>
          <w:strike/>
          <w:highlight w:val="yellow"/>
        </w:rPr>
        <w:t xml:space="preserve"> conditions of FML are the same for an adoption or foster care as stated above for a birth.</w:t>
      </w:r>
    </w:p>
    <w:p w14:paraId="7C8036B6" w14:textId="761A6773" w:rsidR="006F6962" w:rsidRPr="00271FF5" w:rsidRDefault="006F6962" w:rsidP="006F6962">
      <w:pPr>
        <w:pStyle w:val="customList"/>
        <w:numPr>
          <w:ilvl w:val="2"/>
          <w:numId w:val="8"/>
        </w:numPr>
        <w:rPr>
          <w:color w:val="0070C0"/>
        </w:rPr>
      </w:pPr>
      <w:r w:rsidRPr="00271FF5">
        <w:rPr>
          <w:color w:val="0070C0"/>
        </w:rPr>
        <w:t>To care for a spouse, child or parent who has a serious health condition;</w:t>
      </w:r>
    </w:p>
    <w:p w14:paraId="11445A07" w14:textId="77BFE46B" w:rsidR="006F6962" w:rsidRPr="00271FF5" w:rsidRDefault="006F6962" w:rsidP="006F6962">
      <w:pPr>
        <w:pStyle w:val="customList"/>
        <w:numPr>
          <w:ilvl w:val="2"/>
          <w:numId w:val="8"/>
        </w:numPr>
        <w:rPr>
          <w:color w:val="0070C0"/>
        </w:rPr>
      </w:pPr>
      <w:r w:rsidRPr="00271FF5">
        <w:rPr>
          <w:color w:val="0070C0"/>
        </w:rPr>
        <w:t>A serious health condition that renders the employee incapable of performing the functions of his/her job, such as:</w:t>
      </w:r>
    </w:p>
    <w:p w14:paraId="17AAD5A9" w14:textId="3A4B8237" w:rsidR="006F6962" w:rsidRPr="00271FF5" w:rsidRDefault="006F6962" w:rsidP="006F6962">
      <w:pPr>
        <w:pStyle w:val="customList"/>
        <w:numPr>
          <w:ilvl w:val="3"/>
          <w:numId w:val="8"/>
        </w:numPr>
        <w:rPr>
          <w:color w:val="0070C0"/>
        </w:rPr>
      </w:pPr>
      <w:r w:rsidRPr="00271FF5">
        <w:rPr>
          <w:color w:val="0070C0"/>
        </w:rPr>
        <w:t>Inpatient care in a hospital, hospice, or residential medical care facility, or subsequent treatment resulting from such inpatient care;</w:t>
      </w:r>
    </w:p>
    <w:p w14:paraId="5D411D6A" w14:textId="3CD7C8C0" w:rsidR="006F6962" w:rsidRPr="00271FF5" w:rsidRDefault="006F6962" w:rsidP="006F6962">
      <w:pPr>
        <w:pStyle w:val="customList"/>
        <w:numPr>
          <w:ilvl w:val="3"/>
          <w:numId w:val="8"/>
        </w:numPr>
        <w:rPr>
          <w:color w:val="0070C0"/>
        </w:rPr>
      </w:pPr>
      <w:r w:rsidRPr="00271FF5">
        <w:rPr>
          <w:color w:val="0070C0"/>
        </w:rPr>
        <w:t xml:space="preserve">A condition requiring an absence of more than </w:t>
      </w:r>
      <w:r w:rsidR="00EC7AB4">
        <w:rPr>
          <w:color w:val="0070C0"/>
        </w:rPr>
        <w:t>three</w:t>
      </w:r>
      <w:r w:rsidRPr="00271FF5">
        <w:rPr>
          <w:color w:val="0070C0"/>
        </w:rPr>
        <w:t xml:space="preserve"> consecutive </w:t>
      </w:r>
      <w:r w:rsidR="00EC7AB4" w:rsidRPr="00EC7AB4">
        <w:rPr>
          <w:color w:val="FF0000"/>
        </w:rPr>
        <w:t>work</w:t>
      </w:r>
      <w:r w:rsidRPr="00271FF5">
        <w:rPr>
          <w:color w:val="0070C0"/>
        </w:rPr>
        <w:t xml:space="preserve"> </w:t>
      </w:r>
      <w:r w:rsidR="00EC7AB4" w:rsidRPr="00EC7AB4">
        <w:rPr>
          <w:strike/>
          <w:highlight w:val="yellow"/>
        </w:rPr>
        <w:t>calendar</w:t>
      </w:r>
      <w:r w:rsidR="00EC7AB4">
        <w:rPr>
          <w:color w:val="0070C0"/>
        </w:rPr>
        <w:t xml:space="preserve"> </w:t>
      </w:r>
      <w:r w:rsidRPr="00271FF5">
        <w:rPr>
          <w:color w:val="0070C0"/>
        </w:rPr>
        <w:t>days and under continuing treatment by a medical provider;</w:t>
      </w:r>
    </w:p>
    <w:p w14:paraId="60977D48" w14:textId="2F5A96C0" w:rsidR="006F6962" w:rsidRDefault="006F6962" w:rsidP="006F6962">
      <w:pPr>
        <w:pStyle w:val="customList"/>
        <w:numPr>
          <w:ilvl w:val="3"/>
          <w:numId w:val="8"/>
        </w:numPr>
        <w:rPr>
          <w:color w:val="0070C0"/>
        </w:rPr>
      </w:pPr>
      <w:r w:rsidRPr="00271FF5">
        <w:rPr>
          <w:color w:val="0070C0"/>
        </w:rPr>
        <w:t xml:space="preserve">A condition lasting fewer than </w:t>
      </w:r>
      <w:r w:rsidR="008F7A65">
        <w:rPr>
          <w:color w:val="0070C0"/>
        </w:rPr>
        <w:t>three</w:t>
      </w:r>
      <w:r w:rsidRPr="00271FF5">
        <w:rPr>
          <w:color w:val="0070C0"/>
        </w:rPr>
        <w:t xml:space="preserve"> </w:t>
      </w:r>
      <w:proofErr w:type="gramStart"/>
      <w:r w:rsidR="008F7A65">
        <w:rPr>
          <w:color w:val="FF0000"/>
        </w:rPr>
        <w:t xml:space="preserve">work </w:t>
      </w:r>
      <w:r w:rsidRPr="00271FF5">
        <w:rPr>
          <w:color w:val="0070C0"/>
        </w:rPr>
        <w:t>days</w:t>
      </w:r>
      <w:proofErr w:type="gramEnd"/>
      <w:r w:rsidRPr="00271FF5">
        <w:rPr>
          <w:color w:val="0070C0"/>
        </w:rPr>
        <w:t xml:space="preserve"> but under the continuing treatment of (or under supervision of) a health care provider for a chronic or long-term condition, or for prenatal care.</w:t>
      </w:r>
    </w:p>
    <w:p w14:paraId="55F5E093" w14:textId="73527E27" w:rsidR="00271FF5" w:rsidRPr="00271FF5" w:rsidRDefault="007A7437" w:rsidP="00271FF5">
      <w:pPr>
        <w:pStyle w:val="customList"/>
        <w:rPr>
          <w:color w:val="0070C0"/>
        </w:rPr>
      </w:pPr>
      <w:r w:rsidRPr="007A7437">
        <w:rPr>
          <w:color w:val="0070C0"/>
        </w:rPr>
        <w:t xml:space="preserve">Spouses employed by the same employer are entitled to up to twelve weeks family medical leave each for serious illness or injury </w:t>
      </w:r>
      <w:proofErr w:type="gramStart"/>
      <w:r w:rsidRPr="007A7437">
        <w:rPr>
          <w:color w:val="0070C0"/>
        </w:rPr>
        <w:t>of self or to take care of a spouse</w:t>
      </w:r>
      <w:proofErr w:type="gramEnd"/>
      <w:r w:rsidRPr="007A7437">
        <w:rPr>
          <w:color w:val="0070C0"/>
        </w:rPr>
        <w:t>.</w:t>
      </w:r>
      <w:r>
        <w:rPr>
          <w:color w:val="FF0000"/>
        </w:rPr>
        <w:t xml:space="preserve"> </w:t>
      </w:r>
      <w:r w:rsidR="002E41EC">
        <w:rPr>
          <w:rStyle w:val="CommentReference"/>
        </w:rPr>
        <w:commentReference w:id="6"/>
      </w:r>
      <w:r>
        <w:rPr>
          <w:color w:val="FF0000"/>
        </w:rPr>
        <w:t>However,</w:t>
      </w:r>
      <w:r w:rsidR="00271FF5" w:rsidRPr="00271FF5">
        <w:rPr>
          <w:color w:val="FF0000"/>
        </w:rPr>
        <w:t xml:space="preserve"> the twelve weeks of family medical leav</w:t>
      </w:r>
      <w:r w:rsidR="008F7A65">
        <w:rPr>
          <w:color w:val="FF0000"/>
        </w:rPr>
        <w:t xml:space="preserve">e </w:t>
      </w:r>
      <w:proofErr w:type="gramStart"/>
      <w:r w:rsidR="008F7A65">
        <w:rPr>
          <w:color w:val="FF0000"/>
        </w:rPr>
        <w:t>is combined</w:t>
      </w:r>
      <w:proofErr w:type="gramEnd"/>
      <w:r w:rsidR="008F7A65">
        <w:rPr>
          <w:color w:val="FF0000"/>
        </w:rPr>
        <w:t xml:space="preserve"> between spouses for</w:t>
      </w:r>
      <w:r w:rsidR="00271FF5" w:rsidRPr="00271FF5">
        <w:rPr>
          <w:color w:val="FF0000"/>
        </w:rPr>
        <w:t xml:space="preserve"> </w:t>
      </w:r>
      <w:r>
        <w:rPr>
          <w:color w:val="FF0000"/>
        </w:rPr>
        <w:t>the birth</w:t>
      </w:r>
      <w:r w:rsidR="00271FF5" w:rsidRPr="00271FF5">
        <w:rPr>
          <w:color w:val="FF0000"/>
        </w:rPr>
        <w:t xml:space="preserve"> </w:t>
      </w:r>
      <w:r w:rsidR="008F7A65">
        <w:rPr>
          <w:color w:val="FF0000"/>
        </w:rPr>
        <w:t>or placement of</w:t>
      </w:r>
      <w:r w:rsidR="00271FF5" w:rsidRPr="00271FF5">
        <w:rPr>
          <w:color w:val="FF0000"/>
        </w:rPr>
        <w:t xml:space="preserve"> a child.</w:t>
      </w:r>
      <w:r>
        <w:rPr>
          <w:color w:val="FF0000"/>
        </w:rPr>
        <w:t xml:space="preserve"> </w:t>
      </w:r>
      <w:r w:rsidR="00271FF5" w:rsidRPr="00271FF5">
        <w:rPr>
          <w:strike/>
          <w:highlight w:val="yellow"/>
        </w:rPr>
        <w:t>Only one parent at a time can take FML to care for a ch</w:t>
      </w:r>
      <w:r>
        <w:rPr>
          <w:strike/>
          <w:highlight w:val="yellow"/>
        </w:rPr>
        <w:t>ild. I</w:t>
      </w:r>
      <w:r w:rsidRPr="007A7437">
        <w:rPr>
          <w:strike/>
          <w:highlight w:val="yellow"/>
        </w:rPr>
        <w:t xml:space="preserve">n order to use FML for such care, application and certification </w:t>
      </w:r>
      <w:proofErr w:type="gramStart"/>
      <w:r w:rsidRPr="007A7437">
        <w:rPr>
          <w:strike/>
          <w:highlight w:val="yellow"/>
        </w:rPr>
        <w:t>must be made</w:t>
      </w:r>
      <w:proofErr w:type="gramEnd"/>
      <w:r w:rsidRPr="007A7437">
        <w:rPr>
          <w:strike/>
          <w:highlight w:val="yellow"/>
        </w:rPr>
        <w:t xml:space="preserve"> according to sections IV and VI of this policy.</w:t>
      </w:r>
    </w:p>
    <w:p w14:paraId="5AF3A5A2" w14:textId="0ED63D27" w:rsidR="00271FF5" w:rsidRDefault="00271FF5" w:rsidP="00271FF5">
      <w:pPr>
        <w:pStyle w:val="customList"/>
        <w:rPr>
          <w:color w:val="0070C0"/>
        </w:rPr>
      </w:pPr>
      <w:commentRangeStart w:id="7"/>
      <w:r w:rsidRPr="002E41EC">
        <w:rPr>
          <w:color w:val="0070C0"/>
        </w:rPr>
        <w:lastRenderedPageBreak/>
        <w:t>Intermittent</w:t>
      </w:r>
      <w:commentRangeEnd w:id="7"/>
      <w:r w:rsidR="002E41EC">
        <w:rPr>
          <w:rStyle w:val="CommentReference"/>
        </w:rPr>
        <w:commentReference w:id="7"/>
      </w:r>
      <w:r w:rsidRPr="002E41EC">
        <w:rPr>
          <w:color w:val="0070C0"/>
        </w:rPr>
        <w:t xml:space="preserve"> leave or a reduced leave schedule for medical reasons can be taken under this policy when medically necessary</w:t>
      </w:r>
      <w:r w:rsidR="002E41EC" w:rsidRPr="002E41EC">
        <w:rPr>
          <w:color w:val="0070C0"/>
        </w:rPr>
        <w:t xml:space="preserve"> and </w:t>
      </w:r>
      <w:r w:rsidR="002E41EC" w:rsidRPr="00335F1E">
        <w:rPr>
          <w:strike/>
          <w:highlight w:val="yellow"/>
        </w:rPr>
        <w:t>only</w:t>
      </w:r>
      <w:r w:rsidR="002E41EC" w:rsidRPr="002E41EC">
        <w:rPr>
          <w:color w:val="0070C0"/>
        </w:rPr>
        <w:t xml:space="preserve"> if the employee and the University supervisor mutually agree to the arrangement.</w:t>
      </w:r>
    </w:p>
    <w:p w14:paraId="4BF4B398" w14:textId="4D9BB505" w:rsidR="002E41EC" w:rsidRDefault="002E41EC" w:rsidP="002E41EC">
      <w:pPr>
        <w:pStyle w:val="customList"/>
        <w:numPr>
          <w:ilvl w:val="2"/>
          <w:numId w:val="8"/>
        </w:numPr>
        <w:rPr>
          <w:color w:val="0070C0"/>
        </w:rPr>
      </w:pPr>
      <w:commentRangeStart w:id="8"/>
      <w:r>
        <w:rPr>
          <w:color w:val="0070C0"/>
        </w:rPr>
        <w:t>If</w:t>
      </w:r>
      <w:commentRangeEnd w:id="8"/>
      <w:r w:rsidR="007A7437">
        <w:rPr>
          <w:rStyle w:val="CommentReference"/>
        </w:rPr>
        <w:commentReference w:id="8"/>
      </w:r>
      <w:r>
        <w:rPr>
          <w:color w:val="0070C0"/>
        </w:rPr>
        <w:t xml:space="preserve"> an employee requests intermittent leave or a reduced leave schedule because of a serious health condition that is foreseeable based on planned medical treatment, the University may require the employee to transfer temporarily to an alternative position for which the employee is qualified and that has equivalent pay and benefits and better accommodates recurring periods of leave.</w:t>
      </w:r>
    </w:p>
    <w:p w14:paraId="697C625F" w14:textId="5B710235" w:rsidR="002E41EC" w:rsidRPr="002E41EC" w:rsidRDefault="002E41EC" w:rsidP="002E41EC">
      <w:pPr>
        <w:pStyle w:val="customList"/>
        <w:rPr>
          <w:color w:val="0070C0"/>
        </w:rPr>
      </w:pPr>
      <w:commentRangeStart w:id="9"/>
      <w:r w:rsidRPr="002E41EC">
        <w:rPr>
          <w:color w:val="0070C0"/>
        </w:rPr>
        <w:t xml:space="preserve">Family </w:t>
      </w:r>
      <w:commentRangeEnd w:id="9"/>
      <w:r>
        <w:rPr>
          <w:rStyle w:val="CommentReference"/>
        </w:rPr>
        <w:commentReference w:id="9"/>
      </w:r>
      <w:r w:rsidRPr="002E41EC">
        <w:rPr>
          <w:color w:val="0070C0"/>
        </w:rPr>
        <w:t xml:space="preserve">medical leave is unpaid leave.  However, the employee </w:t>
      </w:r>
      <w:proofErr w:type="gramStart"/>
      <w:r w:rsidRPr="002E41EC">
        <w:rPr>
          <w:color w:val="0070C0"/>
        </w:rPr>
        <w:t>may be</w:t>
      </w:r>
      <w:r w:rsidR="008F7A65">
        <w:rPr>
          <w:color w:val="0070C0"/>
        </w:rPr>
        <w:t xml:space="preserve"> paid</w:t>
      </w:r>
      <w:proofErr w:type="gramEnd"/>
      <w:r w:rsidR="008F7A65">
        <w:rPr>
          <w:color w:val="0070C0"/>
        </w:rPr>
        <w:t xml:space="preserve"> if they have accrued sick, </w:t>
      </w:r>
      <w:r w:rsidRPr="002E41EC">
        <w:rPr>
          <w:color w:val="0070C0"/>
        </w:rPr>
        <w:t>vacation</w:t>
      </w:r>
      <w:r w:rsidR="008F7A65">
        <w:rPr>
          <w:color w:val="0070C0"/>
        </w:rPr>
        <w:t xml:space="preserve"> </w:t>
      </w:r>
      <w:r w:rsidR="008F7A65">
        <w:rPr>
          <w:color w:val="FF0000"/>
        </w:rPr>
        <w:t>and/or</w:t>
      </w:r>
      <w:r w:rsidR="008F7A65" w:rsidRPr="008F7A65">
        <w:rPr>
          <w:color w:val="FF0000"/>
        </w:rPr>
        <w:t xml:space="preserve"> other</w:t>
      </w:r>
      <w:r w:rsidRPr="002E41EC">
        <w:rPr>
          <w:color w:val="0070C0"/>
        </w:rPr>
        <w:t xml:space="preserve"> leave balances available.</w:t>
      </w:r>
    </w:p>
    <w:p w14:paraId="78002215" w14:textId="370EFB5A" w:rsidR="002E41EC" w:rsidRDefault="002E41EC" w:rsidP="002E41EC">
      <w:pPr>
        <w:pStyle w:val="customList"/>
        <w:numPr>
          <w:ilvl w:val="2"/>
          <w:numId w:val="8"/>
        </w:numPr>
        <w:rPr>
          <w:color w:val="0070C0"/>
        </w:rPr>
      </w:pPr>
      <w:r w:rsidRPr="002E41EC">
        <w:rPr>
          <w:color w:val="0070C0"/>
        </w:rPr>
        <w:t xml:space="preserve">The employee must first use all his/her accrued sick leave and may use all his/her accrued vacation </w:t>
      </w:r>
      <w:r w:rsidRPr="002E41EC">
        <w:rPr>
          <w:color w:val="FF0000"/>
        </w:rPr>
        <w:t>and other</w:t>
      </w:r>
      <w:r w:rsidRPr="002E41EC">
        <w:rPr>
          <w:color w:val="0070C0"/>
        </w:rPr>
        <w:t xml:space="preserve"> leave</w:t>
      </w:r>
      <w:r>
        <w:rPr>
          <w:color w:val="0070C0"/>
        </w:rPr>
        <w:t>,</w:t>
      </w:r>
      <w:r w:rsidRPr="002E41EC">
        <w:rPr>
          <w:color w:val="0070C0"/>
        </w:rPr>
        <w:t xml:space="preserve"> which will count as paid family medical leave.</w:t>
      </w:r>
    </w:p>
    <w:p w14:paraId="54CD854F" w14:textId="2C0E3567" w:rsidR="002E41EC" w:rsidRDefault="002E41EC" w:rsidP="002E41EC">
      <w:pPr>
        <w:pStyle w:val="customList"/>
        <w:numPr>
          <w:ilvl w:val="2"/>
          <w:numId w:val="8"/>
        </w:numPr>
        <w:rPr>
          <w:color w:val="0070C0"/>
        </w:rPr>
      </w:pPr>
      <w:r>
        <w:rPr>
          <w:color w:val="0070C0"/>
        </w:rPr>
        <w:t>If any family medical leave remains, the remaining leave period will consist of unpaid family medical leave.</w:t>
      </w:r>
    </w:p>
    <w:p w14:paraId="3823773A" w14:textId="5239D33E" w:rsidR="00335F1E" w:rsidRDefault="00335F1E" w:rsidP="002E41EC">
      <w:pPr>
        <w:pStyle w:val="customList"/>
        <w:numPr>
          <w:ilvl w:val="2"/>
          <w:numId w:val="8"/>
        </w:numPr>
        <w:rPr>
          <w:color w:val="0070C0"/>
        </w:rPr>
      </w:pPr>
      <w:commentRangeStart w:id="10"/>
      <w:r>
        <w:rPr>
          <w:color w:val="0070C0"/>
        </w:rPr>
        <w:t>In</w:t>
      </w:r>
      <w:commentRangeEnd w:id="10"/>
      <w:r>
        <w:rPr>
          <w:rStyle w:val="CommentReference"/>
        </w:rPr>
        <w:commentReference w:id="10"/>
      </w:r>
      <w:r>
        <w:rPr>
          <w:color w:val="0070C0"/>
        </w:rPr>
        <w:t xml:space="preserve"> the case of faculty employees </w:t>
      </w:r>
      <w:r w:rsidRPr="00335F1E">
        <w:rPr>
          <w:color w:val="FF0000"/>
        </w:rPr>
        <w:t>requesting family medical leave</w:t>
      </w:r>
      <w:r>
        <w:rPr>
          <w:color w:val="0070C0"/>
        </w:rPr>
        <w:t>, arrangements may be made to help accommodate care by use of any applicable provisions of this policy</w:t>
      </w:r>
      <w:r w:rsidR="00542564">
        <w:rPr>
          <w:color w:val="0070C0"/>
        </w:rPr>
        <w:t>,</w:t>
      </w:r>
      <w:r>
        <w:rPr>
          <w:color w:val="0070C0"/>
        </w:rPr>
        <w:t xml:space="preserve"> as well as any additional procedures arranged by the faculty member, department chair, dean, and Human Resources (e.g. faculty may take one semester off without pay for the birth of a child or may </w:t>
      </w:r>
      <w:r w:rsidRPr="00335F1E">
        <w:rPr>
          <w:strike/>
          <w:highlight w:val="yellow"/>
        </w:rPr>
        <w:t>take</w:t>
      </w:r>
      <w:r>
        <w:rPr>
          <w:color w:val="0070C0"/>
        </w:rPr>
        <w:t xml:space="preserve"> </w:t>
      </w:r>
      <w:r w:rsidRPr="00335F1E">
        <w:rPr>
          <w:color w:val="FF0000"/>
        </w:rPr>
        <w:t>substitute</w:t>
      </w:r>
      <w:r>
        <w:rPr>
          <w:color w:val="0070C0"/>
        </w:rPr>
        <w:t xml:space="preserve"> one semester off during the regular school year and teach during the summer, if classes are needed in his/her field and the dean approves the alternative nine-month contract, etc.) </w:t>
      </w:r>
      <w:r w:rsidRPr="00335F1E">
        <w:rPr>
          <w:color w:val="FF0000"/>
        </w:rPr>
        <w:t>on a case-by-case basis.</w:t>
      </w:r>
    </w:p>
    <w:p w14:paraId="49951698" w14:textId="372DCACB" w:rsidR="002E41EC" w:rsidRDefault="002E41EC" w:rsidP="002E41EC">
      <w:pPr>
        <w:pStyle w:val="customList"/>
        <w:numPr>
          <w:ilvl w:val="2"/>
          <w:numId w:val="8"/>
        </w:numPr>
        <w:rPr>
          <w:color w:val="0070C0"/>
        </w:rPr>
      </w:pPr>
      <w:r>
        <w:rPr>
          <w:color w:val="0070C0"/>
        </w:rPr>
        <w:t xml:space="preserve">Leave due to a work-related injury, which requires an absence of more than three consecutive </w:t>
      </w:r>
      <w:r w:rsidR="005F4E2D" w:rsidRPr="008F7A65">
        <w:rPr>
          <w:color w:val="FF0000"/>
        </w:rPr>
        <w:t>work</w:t>
      </w:r>
      <w:r w:rsidR="005F4E2D">
        <w:rPr>
          <w:color w:val="0070C0"/>
        </w:rPr>
        <w:t>days</w:t>
      </w:r>
      <w:r>
        <w:rPr>
          <w:color w:val="0070C0"/>
        </w:rPr>
        <w:t xml:space="preserve"> and </w:t>
      </w:r>
      <w:r w:rsidR="00542564">
        <w:rPr>
          <w:color w:val="0070C0"/>
        </w:rPr>
        <w:t xml:space="preserve">is </w:t>
      </w:r>
      <w:r>
        <w:rPr>
          <w:color w:val="0070C0"/>
        </w:rPr>
        <w:t xml:space="preserve">under continued treatment by a medical provider, </w:t>
      </w:r>
      <w:proofErr w:type="gramStart"/>
      <w:r>
        <w:rPr>
          <w:color w:val="0070C0"/>
        </w:rPr>
        <w:t>will be covered</w:t>
      </w:r>
      <w:proofErr w:type="gramEnd"/>
      <w:r>
        <w:rPr>
          <w:color w:val="0070C0"/>
        </w:rPr>
        <w:t xml:space="preserve"> by worker’s compensation (see DSU Policy 343).</w:t>
      </w:r>
    </w:p>
    <w:p w14:paraId="32D300C7" w14:textId="03D50AC7" w:rsidR="002E41EC" w:rsidRDefault="002E41EC" w:rsidP="002E41EC">
      <w:pPr>
        <w:pStyle w:val="customList"/>
        <w:rPr>
          <w:color w:val="0070C0"/>
        </w:rPr>
      </w:pPr>
      <w:commentRangeStart w:id="11"/>
      <w:r w:rsidRPr="002E41EC">
        <w:rPr>
          <w:color w:val="0070C0"/>
        </w:rPr>
        <w:t>A</w:t>
      </w:r>
      <w:commentRangeEnd w:id="11"/>
      <w:r>
        <w:rPr>
          <w:rStyle w:val="CommentReference"/>
        </w:rPr>
        <w:commentReference w:id="11"/>
      </w:r>
      <w:r w:rsidRPr="002E41EC">
        <w:rPr>
          <w:color w:val="0070C0"/>
        </w:rPr>
        <w:t xml:space="preserve"> twelve-month period will be determined on a “rolling” twelve months, measured backward from the date an employee uses family medical leave.</w:t>
      </w:r>
    </w:p>
    <w:p w14:paraId="1F0B3662" w14:textId="510D03E0" w:rsidR="002E41EC" w:rsidRDefault="002E41EC" w:rsidP="002E41EC">
      <w:pPr>
        <w:pStyle w:val="customList"/>
        <w:rPr>
          <w:color w:val="0070C0"/>
        </w:rPr>
      </w:pPr>
      <w:commentRangeStart w:id="12"/>
      <w:r>
        <w:rPr>
          <w:color w:val="0070C0"/>
        </w:rPr>
        <w:t>During</w:t>
      </w:r>
      <w:commentRangeEnd w:id="12"/>
      <w:r>
        <w:rPr>
          <w:rStyle w:val="CommentReference"/>
        </w:rPr>
        <w:commentReference w:id="12"/>
      </w:r>
      <w:r>
        <w:rPr>
          <w:color w:val="0070C0"/>
        </w:rPr>
        <w:t xml:space="preserve"> a period of family medical leave, the employee will be retained on his/her group health plan under the same conditions that applied before the leave commenced.</w:t>
      </w:r>
    </w:p>
    <w:p w14:paraId="7B5A8AE7" w14:textId="14A077D8" w:rsidR="002E41EC" w:rsidRDefault="002E41EC" w:rsidP="002E41EC">
      <w:pPr>
        <w:pStyle w:val="customList"/>
        <w:numPr>
          <w:ilvl w:val="2"/>
          <w:numId w:val="8"/>
        </w:numPr>
        <w:rPr>
          <w:color w:val="0070C0"/>
        </w:rPr>
      </w:pPr>
      <w:r>
        <w:rPr>
          <w:color w:val="0070C0"/>
        </w:rPr>
        <w:t xml:space="preserve">Once the employee is moved to unpaid status, the employee portion of </w:t>
      </w:r>
      <w:r>
        <w:rPr>
          <w:color w:val="0070C0"/>
        </w:rPr>
        <w:lastRenderedPageBreak/>
        <w:t>health care premiums (medical, dental and vision) will be paid by the University on behalf of the employee.</w:t>
      </w:r>
    </w:p>
    <w:p w14:paraId="6B2257CF" w14:textId="3857FC02" w:rsidR="002E41EC" w:rsidRDefault="002E41EC" w:rsidP="002E41EC">
      <w:pPr>
        <w:pStyle w:val="customList"/>
        <w:numPr>
          <w:ilvl w:val="2"/>
          <w:numId w:val="8"/>
        </w:numPr>
        <w:rPr>
          <w:color w:val="0070C0"/>
        </w:rPr>
      </w:pPr>
      <w:r>
        <w:rPr>
          <w:color w:val="0070C0"/>
        </w:rPr>
        <w:t xml:space="preserve">When the employee returns to paid status, the portion of health care premiums that </w:t>
      </w:r>
      <w:proofErr w:type="gramStart"/>
      <w:r>
        <w:rPr>
          <w:color w:val="0070C0"/>
        </w:rPr>
        <w:t>was paid</w:t>
      </w:r>
      <w:proofErr w:type="gramEnd"/>
      <w:r>
        <w:rPr>
          <w:color w:val="0070C0"/>
        </w:rPr>
        <w:t xml:space="preserve"> by the University on behalf of the employee will be deducted from the </w:t>
      </w:r>
      <w:r w:rsidR="005F4E2D">
        <w:rPr>
          <w:color w:val="FF0000"/>
        </w:rPr>
        <w:t xml:space="preserve">employee’s </w:t>
      </w:r>
      <w:r>
        <w:rPr>
          <w:color w:val="0070C0"/>
        </w:rPr>
        <w:t>first paycheck</w:t>
      </w:r>
      <w:r w:rsidR="005F4E2D">
        <w:rPr>
          <w:color w:val="FF0000"/>
        </w:rPr>
        <w:t xml:space="preserve"> upon returning to work</w:t>
      </w:r>
      <w:r>
        <w:rPr>
          <w:color w:val="0070C0"/>
        </w:rPr>
        <w:t xml:space="preserve"> </w:t>
      </w:r>
      <w:r w:rsidRPr="005F4E2D">
        <w:rPr>
          <w:strike/>
          <w:highlight w:val="yellow"/>
        </w:rPr>
        <w:t>received.</w:t>
      </w:r>
    </w:p>
    <w:p w14:paraId="25158038" w14:textId="74B10FF6" w:rsidR="002E41EC" w:rsidRPr="002E41EC" w:rsidRDefault="002E41EC" w:rsidP="002E41EC">
      <w:pPr>
        <w:pStyle w:val="customList"/>
        <w:rPr>
          <w:color w:val="0070C0"/>
        </w:rPr>
      </w:pPr>
      <w:commentRangeStart w:id="13"/>
      <w:r w:rsidRPr="002E41EC">
        <w:rPr>
          <w:color w:val="0070C0"/>
        </w:rPr>
        <w:t>An</w:t>
      </w:r>
      <w:commentRangeEnd w:id="13"/>
      <w:r>
        <w:rPr>
          <w:rStyle w:val="CommentReference"/>
        </w:rPr>
        <w:commentReference w:id="13"/>
      </w:r>
      <w:r w:rsidRPr="002E41EC">
        <w:rPr>
          <w:color w:val="0070C0"/>
        </w:rPr>
        <w:t xml:space="preserve"> employee on unpaid family medical leave is not entitled to the accrual of retirement, vacation or sick leave. An employee who takes paid family medical leave</w:t>
      </w:r>
      <w:r>
        <w:t xml:space="preserve"> </w:t>
      </w:r>
      <w:r w:rsidRPr="002E41EC">
        <w:rPr>
          <w:strike/>
          <w:highlight w:val="yellow"/>
        </w:rPr>
        <w:t>(by including vacation/sick leave)</w:t>
      </w:r>
      <w:r>
        <w:t xml:space="preserve"> </w:t>
      </w:r>
      <w:r w:rsidRPr="002E41EC">
        <w:rPr>
          <w:color w:val="0070C0"/>
        </w:rPr>
        <w:t>will be entitled to normal seniority/employment benefits.</w:t>
      </w:r>
    </w:p>
    <w:p w14:paraId="47BE3E70" w14:textId="47F2CBD0" w:rsidR="002E41EC" w:rsidRPr="002E41EC" w:rsidRDefault="002E41EC" w:rsidP="002E41EC">
      <w:pPr>
        <w:pStyle w:val="customList"/>
        <w:rPr>
          <w:color w:val="0070C0"/>
        </w:rPr>
      </w:pPr>
      <w:commentRangeStart w:id="14"/>
      <w:r w:rsidRPr="002E41EC">
        <w:rPr>
          <w:color w:val="0070C0"/>
        </w:rPr>
        <w:t>An</w:t>
      </w:r>
      <w:commentRangeEnd w:id="14"/>
      <w:r>
        <w:rPr>
          <w:rStyle w:val="CommentReference"/>
        </w:rPr>
        <w:commentReference w:id="14"/>
      </w:r>
      <w:r w:rsidRPr="002E41EC">
        <w:rPr>
          <w:color w:val="0070C0"/>
        </w:rPr>
        <w:t xml:space="preserve"> employee must notify Human Resources and their department supervisor before he/she can be returned to active status.  At the time of notification, a doctor’s note certifying the employee may return to work must be supplied to Human Resources.</w:t>
      </w:r>
    </w:p>
    <w:p w14:paraId="470B0F65" w14:textId="79B8A4AF" w:rsidR="002E41EC" w:rsidRDefault="002E41EC" w:rsidP="002E41EC">
      <w:pPr>
        <w:pStyle w:val="customList"/>
        <w:numPr>
          <w:ilvl w:val="2"/>
          <w:numId w:val="8"/>
        </w:numPr>
        <w:rPr>
          <w:color w:val="0070C0"/>
        </w:rPr>
      </w:pPr>
      <w:r w:rsidRPr="002E41EC">
        <w:rPr>
          <w:color w:val="0070C0"/>
        </w:rPr>
        <w:t>If an employee wishes to return to work prior to the expiration of a family medical leave of absence, notification must be given to the employee’s supervisor at least five working days prior to the employee’s planned return.  This notice applies for those employees who are on a continuous family medical leave basis, but not for those employees on an intermittent or reduced leave basis.</w:t>
      </w:r>
    </w:p>
    <w:p w14:paraId="3B92CFE0" w14:textId="2EA9FA36" w:rsidR="002E41EC" w:rsidRPr="00335F1E" w:rsidRDefault="002E41EC" w:rsidP="002E41EC">
      <w:pPr>
        <w:pStyle w:val="customList"/>
        <w:rPr>
          <w:color w:val="0070C0"/>
        </w:rPr>
      </w:pPr>
      <w:commentRangeStart w:id="15"/>
      <w:r w:rsidRPr="00335F1E">
        <w:rPr>
          <w:color w:val="0070C0"/>
        </w:rPr>
        <w:t>If</w:t>
      </w:r>
      <w:commentRangeEnd w:id="15"/>
      <w:r w:rsidRPr="00335F1E">
        <w:rPr>
          <w:rStyle w:val="CommentReference"/>
          <w:color w:val="0070C0"/>
        </w:rPr>
        <w:commentReference w:id="15"/>
      </w:r>
      <w:r w:rsidRPr="00335F1E">
        <w:rPr>
          <w:color w:val="0070C0"/>
        </w:rPr>
        <w:t xml:space="preserve"> an employee fails to return to work after the expiration of family medical leave, the employee will be required to reimburse the University for payment of health insurance premiums during family medical leave, unless the reason the employee fails to return to work is the presence of a serious health condition which prevents the employee from performing his/her job or to circumstances beyond the employee’s control.</w:t>
      </w:r>
    </w:p>
    <w:p w14:paraId="52421031" w14:textId="54928E16" w:rsidR="002E41EC" w:rsidRPr="00335F1E" w:rsidRDefault="002E41EC" w:rsidP="002E41EC">
      <w:pPr>
        <w:pStyle w:val="customList"/>
        <w:numPr>
          <w:ilvl w:val="2"/>
          <w:numId w:val="8"/>
        </w:numPr>
        <w:rPr>
          <w:color w:val="0070C0"/>
        </w:rPr>
      </w:pPr>
      <w:r w:rsidRPr="00335F1E">
        <w:rPr>
          <w:color w:val="0070C0"/>
        </w:rPr>
        <w:t>An employee who returns to work for at least 30 calendar days is considered to have “returned” to work.</w:t>
      </w:r>
    </w:p>
    <w:p w14:paraId="1561C593" w14:textId="28ED2279" w:rsidR="002E41EC" w:rsidRPr="00335F1E" w:rsidRDefault="002E41EC" w:rsidP="002E41EC">
      <w:pPr>
        <w:pStyle w:val="customList"/>
        <w:numPr>
          <w:ilvl w:val="2"/>
          <w:numId w:val="8"/>
        </w:numPr>
        <w:rPr>
          <w:color w:val="0070C0"/>
        </w:rPr>
      </w:pPr>
      <w:r w:rsidRPr="00335F1E">
        <w:rPr>
          <w:color w:val="0070C0"/>
        </w:rPr>
        <w:t>An employee who transfers directly from taking family medical leave to retirement, or who retires during the first 30 days after the employee returns to work, is deemed to have returned to work.</w:t>
      </w:r>
    </w:p>
    <w:p w14:paraId="2C505353" w14:textId="3E2B5945" w:rsidR="002E41EC" w:rsidRPr="00335F1E" w:rsidRDefault="002E41EC" w:rsidP="002E41EC">
      <w:pPr>
        <w:pStyle w:val="customList"/>
        <w:numPr>
          <w:ilvl w:val="2"/>
          <w:numId w:val="8"/>
        </w:numPr>
        <w:rPr>
          <w:color w:val="0070C0"/>
        </w:rPr>
      </w:pPr>
      <w:r w:rsidRPr="00335F1E">
        <w:rPr>
          <w:color w:val="0070C0"/>
        </w:rPr>
        <w:t>An employee who requests an extension of family medical leave due to the continuation, recurrence or onset of his/her own serious health condition, or of the serious health condition of the employee’s spouse, child or parent, must submit a request for an extension, in writing, to his/her supervisor.</w:t>
      </w:r>
    </w:p>
    <w:p w14:paraId="200C9438" w14:textId="29731191" w:rsidR="002E41EC" w:rsidRPr="00335F1E" w:rsidRDefault="002E41EC" w:rsidP="002E41EC">
      <w:pPr>
        <w:pStyle w:val="customList"/>
        <w:numPr>
          <w:ilvl w:val="3"/>
          <w:numId w:val="8"/>
        </w:numPr>
        <w:rPr>
          <w:color w:val="0070C0"/>
        </w:rPr>
      </w:pPr>
      <w:r w:rsidRPr="00335F1E">
        <w:rPr>
          <w:color w:val="0070C0"/>
        </w:rPr>
        <w:lastRenderedPageBreak/>
        <w:t>This request for extension of family medical leave is subject to the twelve-week maximum allowed for such leave.</w:t>
      </w:r>
    </w:p>
    <w:p w14:paraId="3E75C27D" w14:textId="24C3E10E" w:rsidR="002E41EC" w:rsidRPr="00335F1E" w:rsidRDefault="002E41EC" w:rsidP="002E41EC">
      <w:pPr>
        <w:pStyle w:val="customList"/>
        <w:numPr>
          <w:ilvl w:val="3"/>
          <w:numId w:val="8"/>
        </w:numPr>
        <w:rPr>
          <w:color w:val="0070C0"/>
        </w:rPr>
      </w:pPr>
      <w:r w:rsidRPr="00335F1E">
        <w:rPr>
          <w:color w:val="0070C0"/>
        </w:rPr>
        <w:t>Eligibility for long-term disability begins after</w:t>
      </w:r>
      <w:r>
        <w:t xml:space="preserve"> </w:t>
      </w:r>
      <w:r w:rsidRPr="002E41EC">
        <w:rPr>
          <w:strike/>
          <w:highlight w:val="yellow"/>
        </w:rPr>
        <w:t>130 working</w:t>
      </w:r>
      <w:r>
        <w:t xml:space="preserve"> </w:t>
      </w:r>
      <w:commentRangeStart w:id="16"/>
      <w:r w:rsidRPr="002E41EC">
        <w:rPr>
          <w:color w:val="FF0000"/>
        </w:rPr>
        <w:t>120</w:t>
      </w:r>
      <w:commentRangeEnd w:id="16"/>
      <w:r w:rsidR="00335F1E">
        <w:rPr>
          <w:rStyle w:val="CommentReference"/>
        </w:rPr>
        <w:commentReference w:id="16"/>
      </w:r>
      <w:r w:rsidRPr="002E41EC">
        <w:rPr>
          <w:color w:val="FF0000"/>
        </w:rPr>
        <w:t xml:space="preserve"> calendar</w:t>
      </w:r>
      <w:r>
        <w:t xml:space="preserve"> </w:t>
      </w:r>
      <w:r w:rsidRPr="00335F1E">
        <w:rPr>
          <w:color w:val="0070C0"/>
        </w:rPr>
        <w:t>days of inability to work due to a personal serious health condition.</w:t>
      </w:r>
    </w:p>
    <w:p w14:paraId="099D9BD9" w14:textId="21E32201" w:rsidR="00335F1E" w:rsidRPr="00335F1E" w:rsidRDefault="00335F1E" w:rsidP="002E41EC">
      <w:pPr>
        <w:pStyle w:val="customList"/>
        <w:numPr>
          <w:ilvl w:val="3"/>
          <w:numId w:val="8"/>
        </w:numPr>
        <w:rPr>
          <w:color w:val="0070C0"/>
        </w:rPr>
      </w:pPr>
      <w:r w:rsidRPr="00335F1E">
        <w:rPr>
          <w:color w:val="0070C0"/>
        </w:rPr>
        <w:t>This written request for an extension should be made as soon as the employee realizes that he/she will not be able to return at the expiration of the leave period.</w:t>
      </w:r>
    </w:p>
    <w:p w14:paraId="28EB3334" w14:textId="073D11B2" w:rsidR="00335F1E" w:rsidRPr="002E41EC" w:rsidRDefault="00335F1E" w:rsidP="00335F1E">
      <w:pPr>
        <w:pStyle w:val="customList"/>
      </w:pPr>
      <w:r w:rsidRPr="00335F1E">
        <w:rPr>
          <w:color w:val="0070C0"/>
        </w:rPr>
        <w:t>If the employee does not return from leave, the employee is eligible for COBRA</w:t>
      </w:r>
      <w:r w:rsidRPr="00335F1E">
        <w:rPr>
          <w:color w:val="FF0000"/>
        </w:rPr>
        <w:t xml:space="preserve"> continuing coverage, as defined in DSU Policy 346.</w:t>
      </w:r>
      <w:r>
        <w:rPr>
          <w:color w:val="FF0000"/>
        </w:rPr>
        <w:t xml:space="preserve">  </w:t>
      </w:r>
      <w:r>
        <w:rPr>
          <w:color w:val="0070C0"/>
        </w:rPr>
        <w:t>Eligibility for COBRA begins at the end of leave or when the employer is made aware of the employee’s intention not to return from leave.</w:t>
      </w:r>
    </w:p>
    <w:p w14:paraId="2D03C4AD" w14:textId="349EB1B2" w:rsidR="009203FC" w:rsidRPr="002E41EC" w:rsidRDefault="009203FC" w:rsidP="009203FC">
      <w:pPr>
        <w:pStyle w:val="chapterHeaders"/>
        <w:rPr>
          <w:b w:val="0"/>
        </w:rPr>
      </w:pPr>
      <w:r w:rsidRPr="002D4E94">
        <w:t>References</w:t>
      </w:r>
    </w:p>
    <w:p w14:paraId="4713B9BA" w14:textId="74B2A446" w:rsidR="002E41EC" w:rsidRPr="002E41EC" w:rsidRDefault="002E41EC" w:rsidP="002E41EC">
      <w:pPr>
        <w:pStyle w:val="customList"/>
        <w:rPr>
          <w:color w:val="FF0000"/>
        </w:rPr>
      </w:pPr>
      <w:r w:rsidRPr="002E41EC">
        <w:rPr>
          <w:color w:val="FF0000"/>
        </w:rPr>
        <w:t>DSU Policy 343: Benefits, Payroll Deductions, and Worker’s Compensation</w:t>
      </w:r>
    </w:p>
    <w:p w14:paraId="0454F65D" w14:textId="3258B27B" w:rsidR="002E41EC" w:rsidRPr="002E41EC" w:rsidRDefault="002E41EC" w:rsidP="002E41EC">
      <w:pPr>
        <w:pStyle w:val="customList"/>
        <w:rPr>
          <w:color w:val="FF0000"/>
        </w:rPr>
      </w:pPr>
      <w:r w:rsidRPr="002E41EC">
        <w:rPr>
          <w:color w:val="FF0000"/>
        </w:rPr>
        <w:t>DSU Policy 346: Staff Leave and Absences</w:t>
      </w:r>
    </w:p>
    <w:p w14:paraId="2D03C4AE" w14:textId="044BAA83" w:rsidR="009203FC" w:rsidRPr="002E41EC" w:rsidRDefault="009203FC" w:rsidP="009203FC">
      <w:pPr>
        <w:pStyle w:val="chapterHeaders"/>
        <w:rPr>
          <w:b w:val="0"/>
        </w:rPr>
      </w:pPr>
      <w:r w:rsidRPr="002D4E94">
        <w:t>Procedures</w:t>
      </w:r>
    </w:p>
    <w:p w14:paraId="5F88764E" w14:textId="5D132A27" w:rsidR="002E41EC" w:rsidRPr="002E41EC" w:rsidRDefault="002E41EC" w:rsidP="002E41EC">
      <w:pPr>
        <w:pStyle w:val="customList"/>
      </w:pPr>
      <w:r w:rsidRPr="002E41EC">
        <w:rPr>
          <w:strike/>
          <w:highlight w:val="yellow"/>
        </w:rPr>
        <w:t xml:space="preserve">In all cases, </w:t>
      </w:r>
      <w:proofErr w:type="spellStart"/>
      <w:proofErr w:type="gramStart"/>
      <w:r w:rsidRPr="002E41EC">
        <w:rPr>
          <w:strike/>
          <w:highlight w:val="yellow"/>
        </w:rPr>
        <w:t>an</w:t>
      </w:r>
      <w:proofErr w:type="spellEnd"/>
      <w:proofErr w:type="gramEnd"/>
      <w:r>
        <w:t xml:space="preserve"> </w:t>
      </w:r>
      <w:commentRangeStart w:id="17"/>
      <w:r w:rsidRPr="002E41EC">
        <w:rPr>
          <w:color w:val="FF0000"/>
        </w:rPr>
        <w:t>The</w:t>
      </w:r>
      <w:r>
        <w:t xml:space="preserve"> </w:t>
      </w:r>
      <w:commentRangeEnd w:id="17"/>
      <w:r>
        <w:rPr>
          <w:rStyle w:val="CommentReference"/>
        </w:rPr>
        <w:commentReference w:id="17"/>
      </w:r>
      <w:r w:rsidRPr="002E41EC">
        <w:rPr>
          <w:color w:val="0070C0"/>
        </w:rPr>
        <w:t>employee requesting leave must complete the DSU FMLA Application form and return it to Human Resources.</w:t>
      </w:r>
      <w:r>
        <w:t xml:space="preserve">  </w:t>
      </w:r>
      <w:r w:rsidRPr="002E41EC">
        <w:rPr>
          <w:color w:val="0070C0"/>
        </w:rPr>
        <w:t>The completed application must state the starting and ending dates of the leave, the duration of the leave, and reason for the leave.</w:t>
      </w:r>
    </w:p>
    <w:p w14:paraId="43450817" w14:textId="7F87AB11" w:rsidR="002E41EC" w:rsidRPr="002E41EC" w:rsidRDefault="002E41EC" w:rsidP="002E41EC">
      <w:pPr>
        <w:pStyle w:val="customList"/>
        <w:rPr>
          <w:color w:val="0070C0"/>
        </w:rPr>
      </w:pPr>
      <w:commentRangeStart w:id="18"/>
      <w:r w:rsidRPr="002E41EC">
        <w:rPr>
          <w:color w:val="0070C0"/>
        </w:rPr>
        <w:t>An</w:t>
      </w:r>
      <w:commentRangeEnd w:id="18"/>
      <w:r>
        <w:rPr>
          <w:rStyle w:val="CommentReference"/>
        </w:rPr>
        <w:commentReference w:id="18"/>
      </w:r>
      <w:r w:rsidRPr="002E41EC">
        <w:rPr>
          <w:color w:val="0070C0"/>
        </w:rPr>
        <w:t xml:space="preserve"> employee intending to take family medical leave because of an expected birth or placement, or because of a planned medical treatment, must submit an application for leave at least thirty days before the leave is to begin.</w:t>
      </w:r>
    </w:p>
    <w:p w14:paraId="12BABAE4" w14:textId="1350F886" w:rsidR="002E41EC" w:rsidRPr="002E41EC" w:rsidRDefault="002E41EC" w:rsidP="005F4E2D">
      <w:pPr>
        <w:pStyle w:val="customList"/>
        <w:numPr>
          <w:ilvl w:val="2"/>
          <w:numId w:val="8"/>
        </w:numPr>
        <w:rPr>
          <w:color w:val="0070C0"/>
        </w:rPr>
      </w:pPr>
      <w:r w:rsidRPr="002E41EC">
        <w:rPr>
          <w:color w:val="0070C0"/>
        </w:rPr>
        <w:t>If leave is to begin within thirty days, an employee must give notice to his/her immediate supervisor and to Human Resources as soon as the necessity for the leave arises.</w:t>
      </w:r>
    </w:p>
    <w:p w14:paraId="245AF36A" w14:textId="0EFC0B96" w:rsidR="002E41EC" w:rsidRPr="002E41EC" w:rsidRDefault="002E41EC" w:rsidP="002E41EC">
      <w:pPr>
        <w:pStyle w:val="customList"/>
        <w:numPr>
          <w:ilvl w:val="2"/>
          <w:numId w:val="8"/>
        </w:numPr>
        <w:rPr>
          <w:color w:val="0070C0"/>
        </w:rPr>
      </w:pPr>
      <w:r w:rsidRPr="002E41EC">
        <w:rPr>
          <w:color w:val="0070C0"/>
        </w:rPr>
        <w:t>The employee need not specifically request family medical leave for it to apply.</w:t>
      </w:r>
    </w:p>
    <w:p w14:paraId="76553A3A" w14:textId="7B7ED44B" w:rsidR="002E41EC" w:rsidRPr="002E41EC" w:rsidRDefault="002E41EC" w:rsidP="002E41EC">
      <w:pPr>
        <w:pStyle w:val="customList"/>
        <w:numPr>
          <w:ilvl w:val="2"/>
          <w:numId w:val="8"/>
        </w:numPr>
        <w:rPr>
          <w:color w:val="0070C0"/>
        </w:rPr>
      </w:pPr>
      <w:r w:rsidRPr="002E41EC">
        <w:rPr>
          <w:color w:val="0070C0"/>
        </w:rPr>
        <w:t>It is the employer’s responsibility to inquire further and to designate the leave as family medical leave, if appropriate.</w:t>
      </w:r>
    </w:p>
    <w:p w14:paraId="4BA32E0B" w14:textId="7C33B8BB" w:rsidR="002E41EC" w:rsidRDefault="002E41EC" w:rsidP="002E41EC">
      <w:pPr>
        <w:pStyle w:val="customList"/>
      </w:pPr>
      <w:r>
        <w:t xml:space="preserve">An application for leave based on the serious health condition of the employee must also be accompanied by a FMLA Medical Certification form, completed </w:t>
      </w:r>
      <w:r>
        <w:lastRenderedPageBreak/>
        <w:t>by the applicable health care provider.</w:t>
      </w:r>
    </w:p>
    <w:p w14:paraId="6742E0FB" w14:textId="3F491350" w:rsidR="002E41EC" w:rsidRDefault="002E41EC" w:rsidP="002E41EC">
      <w:pPr>
        <w:pStyle w:val="customList"/>
        <w:numPr>
          <w:ilvl w:val="2"/>
          <w:numId w:val="8"/>
        </w:numPr>
      </w:pPr>
      <w:r>
        <w:t>The certification must state the date on which the health condition commenced, the probabl</w:t>
      </w:r>
      <w:r w:rsidR="00542564">
        <w:t>e</w:t>
      </w:r>
      <w:r>
        <w:t xml:space="preserve"> duration of the condition, and the appropriate medical facts regarding the condition.  In addition, the certification must state that the employee cannot perform the functions of his/her job.</w:t>
      </w:r>
    </w:p>
    <w:p w14:paraId="0B33E599" w14:textId="77777777" w:rsidR="002E41EC" w:rsidRDefault="002E41EC" w:rsidP="002E41EC">
      <w:pPr>
        <w:pStyle w:val="customList"/>
        <w:numPr>
          <w:ilvl w:val="2"/>
          <w:numId w:val="8"/>
        </w:numPr>
      </w:pPr>
      <w:r>
        <w:t>A second opinion of medical certification may be required, at the University’s expense and the University’s choice of health care provider.</w:t>
      </w:r>
    </w:p>
    <w:p w14:paraId="4AFB08DF" w14:textId="65A0ECD6" w:rsidR="002E41EC" w:rsidRDefault="002E41EC" w:rsidP="002E41EC">
      <w:pPr>
        <w:pStyle w:val="customList"/>
        <w:numPr>
          <w:ilvl w:val="2"/>
          <w:numId w:val="8"/>
        </w:numPr>
      </w:pPr>
      <w:r>
        <w:t>In resolution of conflicting health care provider opinions, a third opinion may be required, also at the University’s expense.  The employee and employer must act in good faith to agree on the third health care provider, and the third opinion is binding.</w:t>
      </w:r>
    </w:p>
    <w:p w14:paraId="1BA0ECE6" w14:textId="03F0A550" w:rsidR="009545F6" w:rsidRDefault="007A7437" w:rsidP="007A7437">
      <w:pPr>
        <w:pStyle w:val="customList"/>
      </w:pPr>
      <w:r>
        <w:t xml:space="preserve">DSU may require </w:t>
      </w:r>
      <w:r w:rsidRPr="007A7437">
        <w:rPr>
          <w:color w:val="FF0000"/>
        </w:rPr>
        <w:t>medical</w:t>
      </w:r>
      <w:r>
        <w:t xml:space="preserve"> </w:t>
      </w:r>
      <w:r w:rsidR="009545F6">
        <w:t>re</w:t>
      </w:r>
      <w:r>
        <w:t>certification at reasonable intervals</w:t>
      </w:r>
      <w:r w:rsidR="009545F6">
        <w:t xml:space="preserve">, as long as a minimum of 30 days have passed (and only in connection with a </w:t>
      </w:r>
      <w:r w:rsidR="009545F6" w:rsidRPr="009545F6">
        <w:rPr>
          <w:color w:val="FF0000"/>
        </w:rPr>
        <w:t>family medical leave</w:t>
      </w:r>
      <w:r w:rsidR="009545F6">
        <w:t xml:space="preserve"> absence).  Subsequent recertification may occur sooner if:</w:t>
      </w:r>
    </w:p>
    <w:p w14:paraId="71F9902E" w14:textId="77777777" w:rsidR="009545F6" w:rsidRDefault="009545F6" w:rsidP="009545F6">
      <w:pPr>
        <w:pStyle w:val="customList"/>
        <w:numPr>
          <w:ilvl w:val="2"/>
          <w:numId w:val="8"/>
        </w:numPr>
      </w:pPr>
      <w:r>
        <w:t>The employee requests an extension;</w:t>
      </w:r>
    </w:p>
    <w:p w14:paraId="57BBF81A" w14:textId="77777777" w:rsidR="009545F6" w:rsidRDefault="009545F6" w:rsidP="009545F6">
      <w:pPr>
        <w:pStyle w:val="customList"/>
        <w:numPr>
          <w:ilvl w:val="2"/>
          <w:numId w:val="8"/>
        </w:numPr>
      </w:pPr>
      <w:r>
        <w:t>The circumstances have changed (nature/duration of illness);</w:t>
      </w:r>
    </w:p>
    <w:p w14:paraId="69AAB91D" w14:textId="725AB24C" w:rsidR="007A7437" w:rsidRDefault="009545F6" w:rsidP="009545F6">
      <w:pPr>
        <w:pStyle w:val="customList"/>
        <w:numPr>
          <w:ilvl w:val="2"/>
          <w:numId w:val="8"/>
        </w:numPr>
      </w:pPr>
      <w:r>
        <w:t>The employer receives information casting doubt on the validit</w:t>
      </w:r>
      <w:r w:rsidR="00542564">
        <w:t>y of the original certification.</w:t>
      </w:r>
      <w:bookmarkStart w:id="19" w:name="_GoBack"/>
      <w:bookmarkEnd w:id="19"/>
    </w:p>
    <w:p w14:paraId="2E003F8C" w14:textId="6E839DC1" w:rsidR="009545F6" w:rsidRPr="009545F6" w:rsidRDefault="009545F6" w:rsidP="009545F6">
      <w:pPr>
        <w:pStyle w:val="customList"/>
        <w:numPr>
          <w:ilvl w:val="2"/>
          <w:numId w:val="8"/>
        </w:numPr>
        <w:rPr>
          <w:strike/>
          <w:highlight w:val="yellow"/>
        </w:rPr>
      </w:pPr>
      <w:commentRangeStart w:id="20"/>
      <w:r w:rsidRPr="009545F6">
        <w:rPr>
          <w:strike/>
          <w:highlight w:val="yellow"/>
        </w:rPr>
        <w:t>The</w:t>
      </w:r>
      <w:commentRangeEnd w:id="20"/>
      <w:r>
        <w:rPr>
          <w:rStyle w:val="CommentReference"/>
        </w:rPr>
        <w:commentReference w:id="20"/>
      </w:r>
      <w:r w:rsidRPr="009545F6">
        <w:rPr>
          <w:strike/>
          <w:highlight w:val="yellow"/>
        </w:rPr>
        <w:t xml:space="preserve"> employee fails to return to work because of a serious health condition and does not repay employer’s premium contributions paid </w:t>
      </w:r>
      <w:proofErr w:type="gramStart"/>
      <w:r w:rsidRPr="009545F6">
        <w:rPr>
          <w:strike/>
          <w:highlight w:val="yellow"/>
        </w:rPr>
        <w:t>during</w:t>
      </w:r>
      <w:proofErr w:type="gramEnd"/>
      <w:r w:rsidRPr="009545F6">
        <w:rPr>
          <w:strike/>
          <w:highlight w:val="yellow"/>
        </w:rPr>
        <w:t xml:space="preserve"> leave.</w:t>
      </w:r>
    </w:p>
    <w:p w14:paraId="187A102D" w14:textId="4BE9E8DB" w:rsidR="00335F1E" w:rsidRPr="002D4E94" w:rsidRDefault="00335F1E" w:rsidP="00335F1E">
      <w:pPr>
        <w:pStyle w:val="customList"/>
      </w:pPr>
      <w:commentRangeStart w:id="21"/>
      <w:r w:rsidRPr="00335F1E">
        <w:rPr>
          <w:color w:val="0070C0"/>
        </w:rPr>
        <w:t>Family</w:t>
      </w:r>
      <w:commentRangeEnd w:id="21"/>
      <w:r>
        <w:rPr>
          <w:rStyle w:val="CommentReference"/>
        </w:rPr>
        <w:commentReference w:id="21"/>
      </w:r>
      <w:r w:rsidRPr="00335F1E">
        <w:rPr>
          <w:color w:val="0070C0"/>
        </w:rPr>
        <w:t xml:space="preserve"> medical leave taken in conjunction with sick</w:t>
      </w:r>
      <w:r w:rsidR="005F4E2D">
        <w:rPr>
          <w:color w:val="0070C0"/>
        </w:rPr>
        <w:t>,</w:t>
      </w:r>
      <w:r w:rsidRPr="00335F1E">
        <w:rPr>
          <w:color w:val="0070C0"/>
        </w:rPr>
        <w:t xml:space="preserve"> vacation</w:t>
      </w:r>
      <w:r w:rsidR="005F4E2D">
        <w:rPr>
          <w:color w:val="0070C0"/>
        </w:rPr>
        <w:t xml:space="preserve"> </w:t>
      </w:r>
      <w:r w:rsidR="005F4E2D" w:rsidRPr="005F4E2D">
        <w:rPr>
          <w:color w:val="FF0000"/>
        </w:rPr>
        <w:t>or other</w:t>
      </w:r>
      <w:r w:rsidRPr="00335F1E">
        <w:rPr>
          <w:color w:val="0070C0"/>
        </w:rPr>
        <w:t xml:space="preserve"> leave </w:t>
      </w:r>
      <w:proofErr w:type="gramStart"/>
      <w:r w:rsidRPr="00335F1E">
        <w:rPr>
          <w:color w:val="0070C0"/>
        </w:rPr>
        <w:t xml:space="preserve">must be </w:t>
      </w:r>
      <w:r w:rsidR="005F4E2D">
        <w:rPr>
          <w:color w:val="FF0000"/>
        </w:rPr>
        <w:t>recorded</w:t>
      </w:r>
      <w:proofErr w:type="gramEnd"/>
      <w:r w:rsidR="005F4E2D">
        <w:rPr>
          <w:color w:val="FF0000"/>
        </w:rPr>
        <w:t xml:space="preserve"> </w:t>
      </w:r>
      <w:r w:rsidRPr="005F4E2D">
        <w:rPr>
          <w:strike/>
          <w:highlight w:val="yellow"/>
        </w:rPr>
        <w:t>coded</w:t>
      </w:r>
      <w:r w:rsidRPr="00335F1E">
        <w:rPr>
          <w:color w:val="0070C0"/>
        </w:rPr>
        <w:t xml:space="preserve"> on the employee’s</w:t>
      </w:r>
      <w:r>
        <w:t xml:space="preserve"> </w:t>
      </w:r>
      <w:r w:rsidRPr="00335F1E">
        <w:rPr>
          <w:strike/>
          <w:highlight w:val="yellow"/>
        </w:rPr>
        <w:t>Time Recap Sheet or</w:t>
      </w:r>
      <w:r>
        <w:t xml:space="preserve"> </w:t>
      </w:r>
      <w:r w:rsidRPr="00335F1E">
        <w:rPr>
          <w:color w:val="0070C0"/>
        </w:rPr>
        <w:t>electronic leave reporting system, with the</w:t>
      </w:r>
      <w:r>
        <w:t xml:space="preserve"> </w:t>
      </w:r>
      <w:r w:rsidRPr="00335F1E">
        <w:rPr>
          <w:color w:val="FF0000"/>
        </w:rPr>
        <w:t>accompanying</w:t>
      </w:r>
      <w:r w:rsidRPr="00335F1E">
        <w:rPr>
          <w:color w:val="0070C0"/>
        </w:rPr>
        <w:t xml:space="preserve"> comment of “family medical leave.”</w:t>
      </w:r>
    </w:p>
    <w:p w14:paraId="196403A7" w14:textId="2A65A959" w:rsidR="00067FC6" w:rsidRPr="002E41EC" w:rsidRDefault="009203FC" w:rsidP="00067FC6">
      <w:pPr>
        <w:pStyle w:val="chapterHeaders"/>
        <w:rPr>
          <w:b w:val="0"/>
        </w:rPr>
      </w:pPr>
      <w:r w:rsidRPr="002D4E94">
        <w:t>Addenda</w:t>
      </w:r>
    </w:p>
    <w:p w14:paraId="191E9194" w14:textId="3770589C" w:rsidR="002E41EC" w:rsidRDefault="002E41EC" w:rsidP="002E41EC">
      <w:pPr>
        <w:pStyle w:val="customList"/>
      </w:pPr>
      <w:r>
        <w:t xml:space="preserve">FMLA forms are available under the Human Resources’ webpage, under HR Forms: </w:t>
      </w:r>
      <w:hyperlink r:id="rId14" w:history="1">
        <w:r w:rsidRPr="00630498">
          <w:rPr>
            <w:rStyle w:val="Hyperlink"/>
          </w:rPr>
          <w:t>https://humanresources.dixie.edu/benefit-forms/</w:t>
        </w:r>
      </w:hyperlink>
      <w:r>
        <w:t xml:space="preserve">. </w:t>
      </w:r>
    </w:p>
    <w:p w14:paraId="3F53DD11" w14:textId="77777777" w:rsidR="003834C9" w:rsidRDefault="003834C9" w:rsidP="007920FC"/>
    <w:p w14:paraId="20F6A37D" w14:textId="7EF26034" w:rsidR="00067FC6" w:rsidRDefault="00E125D0" w:rsidP="007920FC">
      <w:pPr>
        <w:pBdr>
          <w:top w:val="single" w:sz="4" w:space="1" w:color="auto"/>
        </w:pBdr>
      </w:pPr>
      <w:r>
        <w:t xml:space="preserve">Policy Owner: </w:t>
      </w:r>
      <w:r w:rsidR="004266A7" w:rsidRPr="004266A7">
        <w:rPr>
          <w:strike/>
          <w:highlight w:val="yellow"/>
        </w:rPr>
        <w:t>Administrative Services,</w:t>
      </w:r>
      <w:r w:rsidR="004266A7">
        <w:t xml:space="preserve"> VP</w:t>
      </w:r>
      <w:r w:rsidR="002E41EC">
        <w:t xml:space="preserve"> of Administrative Affairs</w:t>
      </w:r>
    </w:p>
    <w:p w14:paraId="30EAC74E" w14:textId="2F20F45C" w:rsidR="00067FC6" w:rsidRDefault="00795DBA" w:rsidP="00795DBA">
      <w:pPr>
        <w:tabs>
          <w:tab w:val="left" w:pos="3915"/>
        </w:tabs>
      </w:pPr>
      <w:r>
        <w:t>Policy Steward:</w:t>
      </w:r>
      <w:r w:rsidR="00E125D0">
        <w:t xml:space="preserve"> </w:t>
      </w:r>
      <w:r w:rsidR="002E41EC">
        <w:t>DSU Human Resources</w:t>
      </w:r>
    </w:p>
    <w:p w14:paraId="07489DF6" w14:textId="77777777" w:rsidR="00E125D0" w:rsidRDefault="00E125D0" w:rsidP="002E41EC"/>
    <w:p w14:paraId="2F48FDA8" w14:textId="07E0A83C" w:rsidR="00E125D0" w:rsidRDefault="00067FC6" w:rsidP="002E41EC">
      <w:r>
        <w:t>History:</w:t>
      </w:r>
    </w:p>
    <w:p w14:paraId="4C92DE57" w14:textId="1A637E44" w:rsidR="00067FC6" w:rsidRDefault="00067FC6" w:rsidP="00067FC6">
      <w:r>
        <w:lastRenderedPageBreak/>
        <w:t xml:space="preserve">Approved </w:t>
      </w:r>
      <w:r w:rsidR="002E41EC">
        <w:t>6/5/98</w:t>
      </w:r>
    </w:p>
    <w:p w14:paraId="4577D36C" w14:textId="4075BE9B" w:rsidR="00067FC6" w:rsidRDefault="002E41EC" w:rsidP="00067FC6">
      <w:r>
        <w:t>Revised 10/14/15</w:t>
      </w:r>
    </w:p>
    <w:p w14:paraId="001E2398" w14:textId="340647C6" w:rsidR="002E41EC" w:rsidRPr="002E41EC" w:rsidRDefault="002E41EC" w:rsidP="00067FC6">
      <w:pPr>
        <w:rPr>
          <w:color w:val="FF0000"/>
          <w:szCs w:val="24"/>
        </w:rPr>
      </w:pPr>
      <w:r w:rsidRPr="002E41EC">
        <w:rPr>
          <w:color w:val="FF0000"/>
        </w:rPr>
        <w:t xml:space="preserve">Revised </w:t>
      </w:r>
      <w:proofErr w:type="gramStart"/>
      <w:r w:rsidRPr="002E41EC">
        <w:rPr>
          <w:color w:val="FF0000"/>
        </w:rPr>
        <w:t>Fall</w:t>
      </w:r>
      <w:proofErr w:type="gramEnd"/>
      <w:r w:rsidRPr="002E41EC">
        <w:rPr>
          <w:color w:val="FF0000"/>
        </w:rPr>
        <w:t xml:space="preserve"> 2019</w:t>
      </w:r>
    </w:p>
    <w:sectPr w:rsidR="002E41EC" w:rsidRPr="002E41EC" w:rsidSect="006A5A9D">
      <w:headerReference w:type="default" r:id="rId15"/>
      <w:footerReference w:type="default" r:id="rId16"/>
      <w:pgSz w:w="12240" w:h="15840"/>
      <w:pgMar w:top="1080" w:right="1440" w:bottom="108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Author" w:initials="A">
    <w:p w14:paraId="24C2BFE3" w14:textId="47F74BE1" w:rsidR="002E41EC" w:rsidRDefault="002E41EC">
      <w:pPr>
        <w:pStyle w:val="CommentText"/>
      </w:pPr>
      <w:r>
        <w:rPr>
          <w:rStyle w:val="CommentReference"/>
        </w:rPr>
        <w:annotationRef/>
      </w:r>
      <w:r>
        <w:t>Section 3.1.1 of current policy.</w:t>
      </w:r>
    </w:p>
  </w:comment>
  <w:comment w:id="1" w:author="Author" w:initials="A">
    <w:p w14:paraId="1CB62E66" w14:textId="689618CE" w:rsidR="00335F1E" w:rsidRDefault="00335F1E">
      <w:pPr>
        <w:pStyle w:val="CommentText"/>
      </w:pPr>
      <w:r>
        <w:rPr>
          <w:rStyle w:val="CommentReference"/>
        </w:rPr>
        <w:annotationRef/>
      </w:r>
      <w:r>
        <w:t>Section 2.1.3.1 of current policy.</w:t>
      </w:r>
    </w:p>
  </w:comment>
  <w:comment w:id="2" w:author="Author" w:initials="A">
    <w:p w14:paraId="000AFA20" w14:textId="4FCDBF8F" w:rsidR="007A7437" w:rsidRDefault="007A7437">
      <w:pPr>
        <w:pStyle w:val="CommentText"/>
      </w:pPr>
      <w:r>
        <w:rPr>
          <w:rStyle w:val="CommentReference"/>
        </w:rPr>
        <w:annotationRef/>
      </w:r>
      <w:r>
        <w:t>Section 2.1.3.2 of current policy.</w:t>
      </w:r>
    </w:p>
  </w:comment>
  <w:comment w:id="3" w:author="Author" w:initials="A">
    <w:p w14:paraId="1C22A346" w14:textId="07EFF14A" w:rsidR="002E41EC" w:rsidRDefault="002E41EC">
      <w:pPr>
        <w:pStyle w:val="CommentText"/>
      </w:pPr>
      <w:r>
        <w:rPr>
          <w:rStyle w:val="CommentReference"/>
        </w:rPr>
        <w:annotationRef/>
      </w:r>
      <w:r>
        <w:t>Section II of current policy.</w:t>
      </w:r>
      <w:r w:rsidR="00335F1E">
        <w:t xml:space="preserve"> Deleting reference as unnecessary due to new policy structure that has a specific section for definitions.</w:t>
      </w:r>
    </w:p>
  </w:comment>
  <w:comment w:id="4" w:author="Author" w:initials="A">
    <w:p w14:paraId="36703C9A" w14:textId="127138F1" w:rsidR="00335F1E" w:rsidRDefault="00335F1E">
      <w:pPr>
        <w:pStyle w:val="CommentText"/>
      </w:pPr>
      <w:r>
        <w:rPr>
          <w:rStyle w:val="CommentReference"/>
        </w:rPr>
        <w:annotationRef/>
      </w:r>
      <w:r>
        <w:t>Deleting language as unnecessary; does not add to or clarify policy.</w:t>
      </w:r>
    </w:p>
  </w:comment>
  <w:comment w:id="5" w:author="Author" w:initials="A">
    <w:p w14:paraId="23C623F9" w14:textId="5E488626" w:rsidR="00643097" w:rsidRDefault="00643097">
      <w:pPr>
        <w:pStyle w:val="CommentText"/>
      </w:pPr>
      <w:r>
        <w:rPr>
          <w:rStyle w:val="CommentReference"/>
        </w:rPr>
        <w:annotationRef/>
      </w:r>
      <w:r>
        <w:t>Deleting language as unnecessary as it was referencing a section of policy that has now been moved in this revision to be more inclusive of family medical leave requests and best practices.</w:t>
      </w:r>
    </w:p>
  </w:comment>
  <w:comment w:id="6" w:author="Author" w:initials="A">
    <w:p w14:paraId="411B8714" w14:textId="127E0D7A" w:rsidR="002E41EC" w:rsidRDefault="002E41EC">
      <w:pPr>
        <w:pStyle w:val="CommentText"/>
      </w:pPr>
      <w:r>
        <w:rPr>
          <w:rStyle w:val="CommentReference"/>
        </w:rPr>
        <w:annotationRef/>
      </w:r>
      <w:r>
        <w:t>Reframing of 2.1.1.1.1</w:t>
      </w:r>
      <w:r w:rsidR="007A7437">
        <w:t xml:space="preserve"> (and removing of 2.1.3.4)</w:t>
      </w:r>
      <w:r>
        <w:t xml:space="preserve"> of current policy to provide clarity and consistency with USHE best practices.</w:t>
      </w:r>
    </w:p>
  </w:comment>
  <w:comment w:id="7" w:author="Author" w:initials="A">
    <w:p w14:paraId="18CDA5DB" w14:textId="220AA777" w:rsidR="002E41EC" w:rsidRDefault="002E41EC">
      <w:pPr>
        <w:pStyle w:val="CommentText"/>
      </w:pPr>
      <w:r>
        <w:rPr>
          <w:rStyle w:val="CommentReference"/>
        </w:rPr>
        <w:annotationRef/>
      </w:r>
      <w:r>
        <w:t>Combining of 3.2 &amp; 3.2.3 for clarity and simplicity.  Moving section 3.3 as sub</w:t>
      </w:r>
      <w:r w:rsidR="007A7437">
        <w:t>-</w:t>
      </w:r>
      <w:r>
        <w:t>bullet 4.3.1 in the revision for clarity.</w:t>
      </w:r>
    </w:p>
  </w:comment>
  <w:comment w:id="8" w:author="Author" w:initials="A">
    <w:p w14:paraId="57B8F0B0" w14:textId="30976C60" w:rsidR="007A7437" w:rsidRDefault="007A7437">
      <w:pPr>
        <w:pStyle w:val="CommentText"/>
      </w:pPr>
      <w:r>
        <w:rPr>
          <w:rStyle w:val="CommentReference"/>
        </w:rPr>
        <w:annotationRef/>
      </w:r>
      <w:r>
        <w:t>Section 3.3 of current policy.</w:t>
      </w:r>
    </w:p>
  </w:comment>
  <w:comment w:id="9" w:author="Author" w:initials="A">
    <w:p w14:paraId="34430196" w14:textId="0D17CE57" w:rsidR="002E41EC" w:rsidRDefault="002E41EC">
      <w:pPr>
        <w:pStyle w:val="CommentText"/>
      </w:pPr>
      <w:r>
        <w:rPr>
          <w:rStyle w:val="CommentReference"/>
        </w:rPr>
        <w:annotationRef/>
      </w:r>
      <w:r>
        <w:t>Section 3.4 of current policy.</w:t>
      </w:r>
      <w:r w:rsidR="008F7A65">
        <w:t xml:space="preserve">  Added “other” types of leave to account for staff personal preference holiday, compensatory time, contract time, etc. for those applicable staff.</w:t>
      </w:r>
    </w:p>
  </w:comment>
  <w:comment w:id="10" w:author="Author" w:initials="A">
    <w:p w14:paraId="3B19E903" w14:textId="1E783624" w:rsidR="00335F1E" w:rsidRDefault="00335F1E">
      <w:pPr>
        <w:pStyle w:val="CommentText"/>
      </w:pPr>
      <w:r>
        <w:rPr>
          <w:rStyle w:val="CommentReference"/>
        </w:rPr>
        <w:annotationRef/>
      </w:r>
      <w:r>
        <w:t>Section 2.1.1.2 of current policy.  Moved to new section to apply to all faculty medical leave requests, which currently uses this methodology.</w:t>
      </w:r>
    </w:p>
  </w:comment>
  <w:comment w:id="11" w:author="Author" w:initials="A">
    <w:p w14:paraId="6269C5C3" w14:textId="55593548" w:rsidR="002E41EC" w:rsidRDefault="002E41EC">
      <w:pPr>
        <w:pStyle w:val="CommentText"/>
      </w:pPr>
      <w:r>
        <w:rPr>
          <w:rStyle w:val="CommentReference"/>
        </w:rPr>
        <w:annotationRef/>
      </w:r>
      <w:r>
        <w:t>Section 3.5 of current policy.</w:t>
      </w:r>
    </w:p>
  </w:comment>
  <w:comment w:id="12" w:author="Author" w:initials="A">
    <w:p w14:paraId="41CA0B3C" w14:textId="1CE7B61B" w:rsidR="002E41EC" w:rsidRDefault="002E41EC">
      <w:pPr>
        <w:pStyle w:val="CommentText"/>
      </w:pPr>
      <w:r>
        <w:rPr>
          <w:rStyle w:val="CommentReference"/>
        </w:rPr>
        <w:annotationRef/>
      </w:r>
      <w:r>
        <w:t>Section 7.1 of current policy.</w:t>
      </w:r>
    </w:p>
  </w:comment>
  <w:comment w:id="13" w:author="Author" w:initials="A">
    <w:p w14:paraId="6605F0C3" w14:textId="517F646D" w:rsidR="002E41EC" w:rsidRDefault="002E41EC">
      <w:pPr>
        <w:pStyle w:val="CommentText"/>
      </w:pPr>
      <w:r>
        <w:rPr>
          <w:rStyle w:val="CommentReference"/>
        </w:rPr>
        <w:annotationRef/>
      </w:r>
      <w:r>
        <w:t>Section 7.2 of current policy.</w:t>
      </w:r>
    </w:p>
  </w:comment>
  <w:comment w:id="14" w:author="Author" w:initials="A">
    <w:p w14:paraId="3D724D2C" w14:textId="2AC55C45" w:rsidR="002E41EC" w:rsidRDefault="002E41EC">
      <w:pPr>
        <w:pStyle w:val="CommentText"/>
      </w:pPr>
      <w:r>
        <w:rPr>
          <w:rStyle w:val="CommentReference"/>
        </w:rPr>
        <w:annotationRef/>
      </w:r>
      <w:r>
        <w:t>Section VIII of current policy.</w:t>
      </w:r>
    </w:p>
  </w:comment>
  <w:comment w:id="15" w:author="Author" w:initials="A">
    <w:p w14:paraId="5BC37C4B" w14:textId="57C1893E" w:rsidR="002E41EC" w:rsidRDefault="002E41EC">
      <w:pPr>
        <w:pStyle w:val="CommentText"/>
      </w:pPr>
      <w:r>
        <w:rPr>
          <w:rStyle w:val="CommentReference"/>
        </w:rPr>
        <w:annotationRef/>
      </w:r>
      <w:r>
        <w:t>Section IX for current policy.</w:t>
      </w:r>
    </w:p>
  </w:comment>
  <w:comment w:id="16" w:author="Author" w:initials="A">
    <w:p w14:paraId="603325E2" w14:textId="23633DB2" w:rsidR="00335F1E" w:rsidRDefault="00335F1E">
      <w:pPr>
        <w:pStyle w:val="CommentText"/>
      </w:pPr>
      <w:r>
        <w:rPr>
          <w:rStyle w:val="CommentReference"/>
        </w:rPr>
        <w:annotationRef/>
      </w:r>
      <w:r>
        <w:t>Updated to match current LTD policy, which took effect in July 2017.</w:t>
      </w:r>
    </w:p>
  </w:comment>
  <w:comment w:id="17" w:author="Author" w:initials="A">
    <w:p w14:paraId="3A692945" w14:textId="62F920C1" w:rsidR="002E41EC" w:rsidRDefault="002E41EC">
      <w:pPr>
        <w:pStyle w:val="CommentText"/>
      </w:pPr>
      <w:r>
        <w:rPr>
          <w:rStyle w:val="CommentReference"/>
        </w:rPr>
        <w:annotationRef/>
      </w:r>
      <w:r>
        <w:t>Section IV of current policy.</w:t>
      </w:r>
    </w:p>
  </w:comment>
  <w:comment w:id="18" w:author="Author" w:initials="A">
    <w:p w14:paraId="12C94A1F" w14:textId="639FB9A8" w:rsidR="002E41EC" w:rsidRDefault="002E41EC">
      <w:pPr>
        <w:pStyle w:val="CommentText"/>
      </w:pPr>
      <w:r>
        <w:rPr>
          <w:rStyle w:val="CommentReference"/>
        </w:rPr>
        <w:annotationRef/>
      </w:r>
      <w:r>
        <w:t>Section V of current policy.</w:t>
      </w:r>
    </w:p>
  </w:comment>
  <w:comment w:id="20" w:author="Author" w:initials="A">
    <w:p w14:paraId="7DA07C94" w14:textId="01CA26CE" w:rsidR="009545F6" w:rsidRDefault="009545F6">
      <w:pPr>
        <w:pStyle w:val="CommentText"/>
      </w:pPr>
      <w:r>
        <w:rPr>
          <w:rStyle w:val="CommentReference"/>
        </w:rPr>
        <w:annotationRef/>
      </w:r>
      <w:r>
        <w:t>Deleting language that is redundant with language now found in section 4.9.</w:t>
      </w:r>
    </w:p>
  </w:comment>
  <w:comment w:id="21" w:author="Author" w:initials="A">
    <w:p w14:paraId="336F1405" w14:textId="16652BC1" w:rsidR="00335F1E" w:rsidRDefault="00335F1E">
      <w:pPr>
        <w:pStyle w:val="CommentText"/>
      </w:pPr>
      <w:r>
        <w:rPr>
          <w:rStyle w:val="CommentReference"/>
        </w:rPr>
        <w:annotationRef/>
      </w:r>
      <w:r>
        <w:t>Section X of current policy.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4C2BFE3" w15:done="0"/>
  <w15:commentEx w15:paraId="1CB62E66" w15:done="0"/>
  <w15:commentEx w15:paraId="000AFA20" w15:done="0"/>
  <w15:commentEx w15:paraId="1C22A346" w15:done="0"/>
  <w15:commentEx w15:paraId="36703C9A" w15:done="0"/>
  <w15:commentEx w15:paraId="23C623F9" w15:done="0"/>
  <w15:commentEx w15:paraId="411B8714" w15:done="0"/>
  <w15:commentEx w15:paraId="18CDA5DB" w15:done="0"/>
  <w15:commentEx w15:paraId="57B8F0B0" w15:done="0"/>
  <w15:commentEx w15:paraId="34430196" w15:done="0"/>
  <w15:commentEx w15:paraId="3B19E903" w15:done="0"/>
  <w15:commentEx w15:paraId="6269C5C3" w15:done="0"/>
  <w15:commentEx w15:paraId="41CA0B3C" w15:done="0"/>
  <w15:commentEx w15:paraId="6605F0C3" w15:done="0"/>
  <w15:commentEx w15:paraId="3D724D2C" w15:done="0"/>
  <w15:commentEx w15:paraId="5BC37C4B" w15:done="0"/>
  <w15:commentEx w15:paraId="603325E2" w15:done="0"/>
  <w15:commentEx w15:paraId="3A692945" w15:done="0"/>
  <w15:commentEx w15:paraId="12C94A1F" w15:done="0"/>
  <w15:commentEx w15:paraId="7DA07C94" w15:done="0"/>
  <w15:commentEx w15:paraId="336F1405"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345D44" w14:textId="77777777" w:rsidR="00DD2D40" w:rsidRDefault="00DD2D40" w:rsidP="002B59EF">
      <w:r>
        <w:separator/>
      </w:r>
    </w:p>
  </w:endnote>
  <w:endnote w:type="continuationSeparator" w:id="0">
    <w:p w14:paraId="1DB1E77F" w14:textId="77777777" w:rsidR="00DD2D40" w:rsidRDefault="00DD2D40" w:rsidP="002B59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03C4C0" w14:textId="2F99BE9E" w:rsidR="002E41EC" w:rsidRPr="00305F04" w:rsidRDefault="00DD2D40" w:rsidP="00170F9C">
    <w:pPr>
      <w:pStyle w:val="Footer"/>
      <w:rPr>
        <w:color w:val="767171" w:themeColor="background2" w:themeShade="80"/>
        <w:szCs w:val="24"/>
      </w:rPr>
    </w:pPr>
    <w:sdt>
      <w:sdtPr>
        <w:rPr>
          <w:color w:val="767171" w:themeColor="background2" w:themeShade="80"/>
        </w:rPr>
        <w:alias w:val="#"/>
        <w:tag w:val="Policy_x0023_"/>
        <w:id w:val="-195238938"/>
        <w:placeholder>
          <w:docPart w:val="F9F5BF8304784D95840FCE870D9D425C"/>
        </w:placeholder>
        <w:dataBinding w:prefixMappings="xmlns:ns0='http://schemas.microsoft.com/office/2006/metadata/properties' xmlns:ns1='http://www.w3.org/2001/XMLSchema-instance' xmlns:ns2='http://schemas.microsoft.com/office/infopath/2007/PartnerControls' xmlns:ns3='ee3634ef-82ac-46bd-b44d-8a1806606827' " w:xpath="/ns0:properties[1]/documentManagement[1]/ns3:Policy_x0023_[1]" w:storeItemID="{E288DCD6-C93E-43ED-BE40-38F8BC678578}"/>
        <w:text/>
      </w:sdtPr>
      <w:sdtEndPr>
        <w:rPr>
          <w:szCs w:val="24"/>
        </w:rPr>
      </w:sdtEndPr>
      <w:sdtContent>
        <w:r w:rsidR="002E41EC">
          <w:rPr>
            <w:color w:val="767171" w:themeColor="background2" w:themeShade="80"/>
          </w:rPr>
          <w:t>349</w:t>
        </w:r>
      </w:sdtContent>
    </w:sdt>
    <w:r w:rsidR="002E41EC" w:rsidRPr="00305F04">
      <w:rPr>
        <w:color w:val="767171" w:themeColor="background2" w:themeShade="80"/>
        <w:szCs w:val="24"/>
      </w:rPr>
      <w:t xml:space="preserve"> </w:t>
    </w:r>
    <w:sdt>
      <w:sdtPr>
        <w:rPr>
          <w:color w:val="767171" w:themeColor="background2" w:themeShade="80"/>
          <w:szCs w:val="24"/>
        </w:rPr>
        <w:alias w:val="Title"/>
        <w:tag w:val=""/>
        <w:id w:val="1965390354"/>
        <w:placeholder>
          <w:docPart w:val="0D06102D4EB04BAFA634E4B4CB3BF370"/>
        </w:placeholder>
        <w:dataBinding w:prefixMappings="xmlns:ns0='http://purl.org/dc/elements/1.1/' xmlns:ns1='http://schemas.openxmlformats.org/package/2006/metadata/core-properties' " w:xpath="/ns1:coreProperties[1]/ns0:title[1]" w:storeItemID="{6C3C8BC8-F283-45AE-878A-BAB7291924A1}"/>
        <w:text/>
      </w:sdtPr>
      <w:sdtEndPr/>
      <w:sdtContent>
        <w:r w:rsidR="002E41EC">
          <w:rPr>
            <w:color w:val="767171" w:themeColor="background2" w:themeShade="80"/>
            <w:szCs w:val="24"/>
          </w:rPr>
          <w:t>Family and Medical Leave</w:t>
        </w:r>
      </w:sdtContent>
    </w:sdt>
    <w:r w:rsidR="002E41EC" w:rsidRPr="00305F04">
      <w:rPr>
        <w:color w:val="767171" w:themeColor="background2" w:themeShade="80"/>
        <w:szCs w:val="24"/>
      </w:rPr>
      <w:tab/>
    </w:r>
    <w:r w:rsidR="002E41EC" w:rsidRPr="00305F04">
      <w:rPr>
        <w:color w:val="767171" w:themeColor="background2" w:themeShade="80"/>
        <w:szCs w:val="24"/>
      </w:rPr>
      <w:tab/>
      <w:t xml:space="preserve">Page </w:t>
    </w:r>
    <w:r w:rsidR="002E41EC" w:rsidRPr="00305F04">
      <w:rPr>
        <w:color w:val="767171" w:themeColor="background2" w:themeShade="80"/>
        <w:szCs w:val="24"/>
      </w:rPr>
      <w:fldChar w:fldCharType="begin"/>
    </w:r>
    <w:r w:rsidR="002E41EC" w:rsidRPr="00305F04">
      <w:rPr>
        <w:color w:val="767171" w:themeColor="background2" w:themeShade="80"/>
        <w:szCs w:val="24"/>
      </w:rPr>
      <w:instrText xml:space="preserve"> PAGE  \* Arabic  \* MERGEFORMAT </w:instrText>
    </w:r>
    <w:r w:rsidR="002E41EC" w:rsidRPr="00305F04">
      <w:rPr>
        <w:color w:val="767171" w:themeColor="background2" w:themeShade="80"/>
        <w:szCs w:val="24"/>
      </w:rPr>
      <w:fldChar w:fldCharType="separate"/>
    </w:r>
    <w:r w:rsidR="00542564">
      <w:rPr>
        <w:noProof/>
        <w:color w:val="767171" w:themeColor="background2" w:themeShade="80"/>
        <w:szCs w:val="24"/>
      </w:rPr>
      <w:t>7</w:t>
    </w:r>
    <w:r w:rsidR="002E41EC" w:rsidRPr="00305F04">
      <w:rPr>
        <w:color w:val="767171" w:themeColor="background2" w:themeShade="80"/>
        <w:szCs w:val="24"/>
      </w:rPr>
      <w:fldChar w:fldCharType="end"/>
    </w:r>
    <w:r w:rsidR="002E41EC" w:rsidRPr="00305F04">
      <w:rPr>
        <w:color w:val="767171" w:themeColor="background2" w:themeShade="80"/>
        <w:szCs w:val="24"/>
      </w:rPr>
      <w:t>|</w:t>
    </w:r>
    <w:r w:rsidR="002E41EC" w:rsidRPr="00305F04">
      <w:rPr>
        <w:color w:val="767171" w:themeColor="background2" w:themeShade="80"/>
        <w:szCs w:val="24"/>
      </w:rPr>
      <w:fldChar w:fldCharType="begin"/>
    </w:r>
    <w:r w:rsidR="002E41EC" w:rsidRPr="00305F04">
      <w:rPr>
        <w:color w:val="767171" w:themeColor="background2" w:themeShade="80"/>
        <w:szCs w:val="24"/>
      </w:rPr>
      <w:instrText xml:space="preserve"> NUMPAGES  \* Arabic  \* MERGEFORMAT </w:instrText>
    </w:r>
    <w:r w:rsidR="002E41EC" w:rsidRPr="00305F04">
      <w:rPr>
        <w:color w:val="767171" w:themeColor="background2" w:themeShade="80"/>
        <w:szCs w:val="24"/>
      </w:rPr>
      <w:fldChar w:fldCharType="separate"/>
    </w:r>
    <w:r w:rsidR="00542564">
      <w:rPr>
        <w:noProof/>
        <w:color w:val="767171" w:themeColor="background2" w:themeShade="80"/>
        <w:szCs w:val="24"/>
      </w:rPr>
      <w:t>7</w:t>
    </w:r>
    <w:r w:rsidR="002E41EC" w:rsidRPr="00305F04">
      <w:rPr>
        <w:color w:val="767171" w:themeColor="background2" w:themeShade="80"/>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59433A" w14:textId="77777777" w:rsidR="00DD2D40" w:rsidRDefault="00DD2D40" w:rsidP="002B59EF">
      <w:r>
        <w:separator/>
      </w:r>
    </w:p>
  </w:footnote>
  <w:footnote w:type="continuationSeparator" w:id="0">
    <w:p w14:paraId="7B482D9E" w14:textId="77777777" w:rsidR="00DD2D40" w:rsidRDefault="00DD2D40" w:rsidP="002B59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5459141"/>
      <w:docPartObj>
        <w:docPartGallery w:val="Watermarks"/>
        <w:docPartUnique/>
      </w:docPartObj>
    </w:sdtPr>
    <w:sdtEndPr/>
    <w:sdtContent>
      <w:p w14:paraId="2D03C4BF" w14:textId="60FFF1E7" w:rsidR="002E41EC" w:rsidRDefault="00DD2D40">
        <w:pPr>
          <w:pStyle w:val="Header"/>
        </w:pPr>
        <w:r>
          <w:rPr>
            <w:noProof/>
          </w:rPr>
          <w:pict w14:anchorId="2F53CBC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F2390"/>
    <w:multiLevelType w:val="hybridMultilevel"/>
    <w:tmpl w:val="E24CF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F47360"/>
    <w:multiLevelType w:val="hybridMultilevel"/>
    <w:tmpl w:val="4C6E6948"/>
    <w:lvl w:ilvl="0" w:tplc="E4841F8A">
      <w:start w:val="1"/>
      <w:numFmt w:val="upperRoman"/>
      <w:lvlText w:val="%1."/>
      <w:lvlJc w:val="righ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7366F7"/>
    <w:multiLevelType w:val="multilevel"/>
    <w:tmpl w:val="B64E7F60"/>
    <w:lvl w:ilvl="0">
      <w:start w:val="1"/>
      <w:numFmt w:val="upperRoman"/>
      <w:pStyle w:val="chapterHeaders"/>
      <w:lvlText w:val="%1."/>
      <w:lvlJc w:val="right"/>
      <w:pPr>
        <w:ind w:left="216" w:hanging="216"/>
      </w:pPr>
      <w:rPr>
        <w:rFonts w:hint="default"/>
        <w:b/>
        <w:i w:val="0"/>
      </w:rPr>
    </w:lvl>
    <w:lvl w:ilvl="1">
      <w:start w:val="1"/>
      <w:numFmt w:val="decimal"/>
      <w:pStyle w:val="customList"/>
      <w:isLgl/>
      <w:lvlText w:val="%1.%2"/>
      <w:lvlJc w:val="right"/>
      <w:pPr>
        <w:ind w:left="936" w:hanging="216"/>
      </w:pPr>
      <w:rPr>
        <w:rFonts w:hint="default"/>
        <w:color w:val="auto"/>
      </w:rPr>
    </w:lvl>
    <w:lvl w:ilvl="2">
      <w:start w:val="1"/>
      <w:numFmt w:val="decimal"/>
      <w:isLgl/>
      <w:lvlText w:val="%1.%2.%3"/>
      <w:lvlJc w:val="right"/>
      <w:pPr>
        <w:ind w:left="1656" w:hanging="216"/>
      </w:pPr>
      <w:rPr>
        <w:rFonts w:hint="default"/>
        <w:color w:val="auto"/>
      </w:rPr>
    </w:lvl>
    <w:lvl w:ilvl="3">
      <w:start w:val="1"/>
      <w:numFmt w:val="decimal"/>
      <w:isLgl/>
      <w:lvlText w:val="%1.%2.%3.%4"/>
      <w:lvlJc w:val="right"/>
      <w:pPr>
        <w:ind w:left="2376" w:hanging="216"/>
      </w:pPr>
      <w:rPr>
        <w:rFonts w:hint="default"/>
        <w:color w:val="auto"/>
      </w:rPr>
    </w:lvl>
    <w:lvl w:ilvl="4">
      <w:start w:val="1"/>
      <w:numFmt w:val="decimal"/>
      <w:isLgl/>
      <w:lvlText w:val="%1.%2.%3.%4.%5"/>
      <w:lvlJc w:val="right"/>
      <w:pPr>
        <w:ind w:left="3096" w:hanging="216"/>
      </w:pPr>
      <w:rPr>
        <w:rFonts w:hint="default"/>
      </w:rPr>
    </w:lvl>
    <w:lvl w:ilvl="5">
      <w:start w:val="1"/>
      <w:numFmt w:val="decimal"/>
      <w:isLgl/>
      <w:lvlText w:val="%1.%2.%3.%4.%5.%6"/>
      <w:lvlJc w:val="right"/>
      <w:pPr>
        <w:ind w:left="3816" w:hanging="216"/>
      </w:pPr>
      <w:rPr>
        <w:rFonts w:hint="default"/>
      </w:rPr>
    </w:lvl>
    <w:lvl w:ilvl="6">
      <w:start w:val="1"/>
      <w:numFmt w:val="decimal"/>
      <w:isLgl/>
      <w:lvlText w:val="%1.%2.%3.%4.%5.%6.%7"/>
      <w:lvlJc w:val="right"/>
      <w:pPr>
        <w:ind w:left="4536" w:hanging="216"/>
      </w:pPr>
      <w:rPr>
        <w:rFonts w:hint="default"/>
      </w:rPr>
    </w:lvl>
    <w:lvl w:ilvl="7">
      <w:start w:val="1"/>
      <w:numFmt w:val="decimal"/>
      <w:isLgl/>
      <w:lvlText w:val="%1.%2.%3.%4.%5.%6.%7.%8"/>
      <w:lvlJc w:val="right"/>
      <w:pPr>
        <w:ind w:left="5256" w:hanging="216"/>
      </w:pPr>
      <w:rPr>
        <w:rFonts w:hint="default"/>
      </w:rPr>
    </w:lvl>
    <w:lvl w:ilvl="8">
      <w:start w:val="1"/>
      <w:numFmt w:val="decimal"/>
      <w:isLgl/>
      <w:lvlText w:val="%1.%2.%3.%4.%5.%6.%7.%8.%9"/>
      <w:lvlJc w:val="right"/>
      <w:pPr>
        <w:ind w:left="5976" w:hanging="216"/>
      </w:pPr>
      <w:rPr>
        <w:rFonts w:hint="default"/>
      </w:rPr>
    </w:lvl>
  </w:abstractNum>
  <w:abstractNum w:abstractNumId="3" w15:restartNumberingAfterBreak="0">
    <w:nsid w:val="1E927FE5"/>
    <w:multiLevelType w:val="multilevel"/>
    <w:tmpl w:val="8C52CD54"/>
    <w:lvl w:ilvl="0">
      <w:start w:val="1"/>
      <w:numFmt w:val="upperRoman"/>
      <w:lvlText w:val="%1."/>
      <w:lvlJc w:val="left"/>
      <w:pPr>
        <w:ind w:left="360" w:hanging="360"/>
      </w:pPr>
      <w:rPr>
        <w:rFonts w:hint="default"/>
      </w:rPr>
    </w:lvl>
    <w:lvl w:ilvl="1">
      <w:start w:val="1"/>
      <w:numFmt w:val="decimal"/>
      <w:lvlText w:val="%2.1"/>
      <w:lvlJc w:val="left"/>
      <w:pPr>
        <w:ind w:left="792" w:hanging="432"/>
      </w:pPr>
      <w:rPr>
        <w:rFonts w:hint="default"/>
      </w:rPr>
    </w:lvl>
    <w:lvl w:ilvl="2">
      <w:start w:val="1"/>
      <w:numFmt w:val="decimal"/>
      <w:lvlText w:val="%2.%3.1"/>
      <w:lvlJc w:val="left"/>
      <w:pPr>
        <w:ind w:left="1224" w:hanging="504"/>
      </w:pPr>
      <w:rPr>
        <w:rFonts w:hint="default"/>
      </w:rPr>
    </w:lvl>
    <w:lvl w:ilvl="3">
      <w:start w:val="1"/>
      <w:numFmt w:val="decimal"/>
      <w:lvlText w:val="%2.%3.%4.1"/>
      <w:lvlJc w:val="left"/>
      <w:pPr>
        <w:ind w:left="1728" w:hanging="648"/>
      </w:pPr>
      <w:rPr>
        <w:rFonts w:hint="default"/>
      </w:rPr>
    </w:lvl>
    <w:lvl w:ilvl="4">
      <w:start w:val="1"/>
      <w:numFmt w:val="decimal"/>
      <w:lvlText w:val="%2.%3.%4.%5.1"/>
      <w:lvlJc w:val="left"/>
      <w:pPr>
        <w:ind w:left="2232" w:hanging="792"/>
      </w:pPr>
      <w:rPr>
        <w:rFonts w:hint="default"/>
      </w:rPr>
    </w:lvl>
    <w:lvl w:ilvl="5">
      <w:start w:val="1"/>
      <w:numFmt w:val="decimal"/>
      <w:lvlText w:val="%2.%3.%4.%5.%6.1"/>
      <w:lvlJc w:val="left"/>
      <w:pPr>
        <w:ind w:left="2736" w:hanging="936"/>
      </w:pPr>
      <w:rPr>
        <w:rFonts w:hint="default"/>
      </w:rPr>
    </w:lvl>
    <w:lvl w:ilvl="6">
      <w:start w:val="1"/>
      <w:numFmt w:val="decimal"/>
      <w:lvlText w:val="%2.%3.%4.%5.%6.%7.1"/>
      <w:lvlJc w:val="left"/>
      <w:pPr>
        <w:ind w:left="3240" w:hanging="1080"/>
      </w:pPr>
      <w:rPr>
        <w:rFonts w:hint="default"/>
      </w:rPr>
    </w:lvl>
    <w:lvl w:ilvl="7">
      <w:start w:val="1"/>
      <w:numFmt w:val="decimal"/>
      <w:lvlText w:val="%2.%3.%4.%5.%6.%7.%8.1"/>
      <w:lvlJc w:val="left"/>
      <w:pPr>
        <w:ind w:left="3744" w:hanging="1224"/>
      </w:pPr>
      <w:rPr>
        <w:rFonts w:hint="default"/>
      </w:rPr>
    </w:lvl>
    <w:lvl w:ilvl="8">
      <w:start w:val="1"/>
      <w:numFmt w:val="decimal"/>
      <w:lvlText w:val="%2.%3.%4.%5.%6.%7.%8.%9.1"/>
      <w:lvlJc w:val="left"/>
      <w:pPr>
        <w:ind w:left="4320" w:hanging="1440"/>
      </w:pPr>
      <w:rPr>
        <w:rFonts w:hint="default"/>
      </w:rPr>
    </w:lvl>
  </w:abstractNum>
  <w:abstractNum w:abstractNumId="4" w15:restartNumberingAfterBreak="0">
    <w:nsid w:val="222A58AA"/>
    <w:multiLevelType w:val="multilevel"/>
    <w:tmpl w:val="FF389EC4"/>
    <w:lvl w:ilvl="0">
      <w:start w:val="1"/>
      <w:numFmt w:val="upperRoman"/>
      <w:lvlText w:val="%1."/>
      <w:lvlJc w:val="righ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324D686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A417D59"/>
    <w:multiLevelType w:val="hybridMultilevel"/>
    <w:tmpl w:val="5A1EA966"/>
    <w:lvl w:ilvl="0" w:tplc="7F8CAB3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EC184D"/>
    <w:multiLevelType w:val="hybridMultilevel"/>
    <w:tmpl w:val="F00EF94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DF7499"/>
    <w:multiLevelType w:val="multilevel"/>
    <w:tmpl w:val="D156469A"/>
    <w:lvl w:ilvl="0">
      <w:start w:val="1"/>
      <w:numFmt w:val="decimal"/>
      <w:lvlText w:val="%1."/>
      <w:lvlJc w:val="left"/>
      <w:pPr>
        <w:ind w:left="108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1800" w:hanging="360"/>
      </w:pPr>
      <w:rPr>
        <w:rFonts w:hint="default"/>
      </w:rPr>
    </w:lvl>
    <w:lvl w:ilvl="3">
      <w:start w:val="1"/>
      <w:numFmt w:val="decimal"/>
      <w:lvlText w:val="%1.%2.%3.%4."/>
      <w:lvlJc w:val="left"/>
      <w:pPr>
        <w:ind w:left="2160" w:hanging="360"/>
      </w:pPr>
      <w:rPr>
        <w:rFonts w:hint="default"/>
      </w:rPr>
    </w:lvl>
    <w:lvl w:ilvl="4">
      <w:start w:val="1"/>
      <w:numFmt w:val="decimal"/>
      <w:lvlText w:val="%1.%2.%3.%4.%5."/>
      <w:lvlJc w:val="left"/>
      <w:pPr>
        <w:ind w:left="2520" w:hanging="360"/>
      </w:pPr>
      <w:rPr>
        <w:rFonts w:hint="default"/>
      </w:rPr>
    </w:lvl>
    <w:lvl w:ilvl="5">
      <w:start w:val="1"/>
      <w:numFmt w:val="decimal"/>
      <w:lvlText w:val="%1.%2.%3.%4.%5.%6."/>
      <w:lvlJc w:val="left"/>
      <w:pPr>
        <w:ind w:left="2880" w:hanging="360"/>
      </w:pPr>
      <w:rPr>
        <w:rFonts w:hint="default"/>
      </w:rPr>
    </w:lvl>
    <w:lvl w:ilvl="6">
      <w:start w:val="1"/>
      <w:numFmt w:val="decimal"/>
      <w:lvlText w:val="%1.%2.%3.%4.%5.%6.%7."/>
      <w:lvlJc w:val="left"/>
      <w:pPr>
        <w:ind w:left="3240" w:hanging="360"/>
      </w:pPr>
      <w:rPr>
        <w:rFonts w:hint="default"/>
      </w:rPr>
    </w:lvl>
    <w:lvl w:ilvl="7">
      <w:start w:val="1"/>
      <w:numFmt w:val="decimal"/>
      <w:lvlText w:val="%1.%2.%3.%4.%5.%6.%7.%8."/>
      <w:lvlJc w:val="left"/>
      <w:pPr>
        <w:ind w:left="3600" w:hanging="360"/>
      </w:pPr>
      <w:rPr>
        <w:rFonts w:hint="default"/>
      </w:rPr>
    </w:lvl>
    <w:lvl w:ilvl="8">
      <w:start w:val="1"/>
      <w:numFmt w:val="decimal"/>
      <w:lvlText w:val="%1.%2.%3.%4.%5.%6.%7.%8.%9."/>
      <w:lvlJc w:val="left"/>
      <w:pPr>
        <w:ind w:left="3960" w:hanging="360"/>
      </w:pPr>
      <w:rPr>
        <w:rFonts w:hint="default"/>
      </w:rPr>
    </w:lvl>
  </w:abstractNum>
  <w:abstractNum w:abstractNumId="9" w15:restartNumberingAfterBreak="0">
    <w:nsid w:val="6B771014"/>
    <w:multiLevelType w:val="hybridMultilevel"/>
    <w:tmpl w:val="0724295A"/>
    <w:lvl w:ilvl="0" w:tplc="AB988E48">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4"/>
  </w:num>
  <w:num w:numId="4">
    <w:abstractNumId w:val="8"/>
  </w:num>
  <w:num w:numId="5">
    <w:abstractNumId w:val="5"/>
  </w:num>
  <w:num w:numId="6">
    <w:abstractNumId w:val="9"/>
  </w:num>
  <w:num w:numId="7">
    <w:abstractNumId w:val="3"/>
  </w:num>
  <w:num w:numId="8">
    <w:abstractNumId w:val="2"/>
  </w:num>
  <w:num w:numId="9">
    <w:abstractNumId w:val="2"/>
    <w:lvlOverride w:ilvl="0">
      <w:lvl w:ilvl="0">
        <w:start w:val="1"/>
        <w:numFmt w:val="upperRoman"/>
        <w:pStyle w:val="chapterHeaders"/>
        <w:lvlText w:val="%1."/>
        <w:lvlJc w:val="right"/>
        <w:pPr>
          <w:ind w:left="360" w:hanging="360"/>
        </w:pPr>
        <w:rPr>
          <w:rFonts w:hint="default"/>
          <w:b/>
          <w:i w:val="0"/>
        </w:rPr>
      </w:lvl>
    </w:lvlOverride>
    <w:lvlOverride w:ilvl="1">
      <w:lvl w:ilvl="1">
        <w:start w:val="1"/>
        <w:numFmt w:val="decimal"/>
        <w:pStyle w:val="customList"/>
        <w:isLgl/>
        <w:lvlText w:val="%1.%2"/>
        <w:lvlJc w:val="right"/>
        <w:pPr>
          <w:ind w:left="720" w:hanging="360"/>
        </w:pPr>
        <w:rPr>
          <w:rFonts w:hint="default"/>
        </w:rPr>
      </w:lvl>
    </w:lvlOverride>
    <w:lvlOverride w:ilvl="2">
      <w:lvl w:ilvl="2">
        <w:start w:val="1"/>
        <w:numFmt w:val="decimal"/>
        <w:lvlRestart w:val="0"/>
        <w:isLgl/>
        <w:lvlText w:val="%1.%2.%3"/>
        <w:lvlJc w:val="right"/>
        <w:pPr>
          <w:ind w:left="1080" w:hanging="360"/>
        </w:pPr>
        <w:rPr>
          <w:rFonts w:hint="default"/>
        </w:rPr>
      </w:lvl>
    </w:lvlOverride>
    <w:lvlOverride w:ilvl="3">
      <w:lvl w:ilvl="3">
        <w:start w:val="1"/>
        <w:numFmt w:val="decimal"/>
        <w:lvlRestart w:val="0"/>
        <w:isLgl/>
        <w:lvlText w:val="%1.%2.%3.%4"/>
        <w:lvlJc w:val="right"/>
        <w:pPr>
          <w:ind w:left="1440" w:hanging="360"/>
        </w:pPr>
        <w:rPr>
          <w:rFonts w:hint="default"/>
        </w:rPr>
      </w:lvl>
    </w:lvlOverride>
    <w:lvlOverride w:ilvl="4">
      <w:lvl w:ilvl="4">
        <w:start w:val="1"/>
        <w:numFmt w:val="decimal"/>
        <w:lvlRestart w:val="0"/>
        <w:isLgl/>
        <w:lvlText w:val="%1.%2.%3.%4.%5"/>
        <w:lvlJc w:val="right"/>
        <w:pPr>
          <w:ind w:left="1800" w:hanging="360"/>
        </w:pPr>
        <w:rPr>
          <w:rFonts w:hint="default"/>
        </w:rPr>
      </w:lvl>
    </w:lvlOverride>
    <w:lvlOverride w:ilvl="5">
      <w:lvl w:ilvl="5">
        <w:start w:val="1"/>
        <w:numFmt w:val="decimal"/>
        <w:lvlRestart w:val="0"/>
        <w:isLgl/>
        <w:lvlText w:val="%1.%2.%3.%4.%5.%6"/>
        <w:lvlJc w:val="right"/>
        <w:pPr>
          <w:ind w:left="2160" w:hanging="360"/>
        </w:pPr>
        <w:rPr>
          <w:rFonts w:hint="default"/>
        </w:rPr>
      </w:lvl>
    </w:lvlOverride>
    <w:lvlOverride w:ilvl="6">
      <w:lvl w:ilvl="6">
        <w:start w:val="1"/>
        <w:numFmt w:val="decimal"/>
        <w:lvlRestart w:val="0"/>
        <w:isLgl/>
        <w:lvlText w:val="%1.%2.%3.%4.%5.%6.%7"/>
        <w:lvlJc w:val="right"/>
        <w:pPr>
          <w:ind w:left="2520" w:hanging="360"/>
        </w:pPr>
        <w:rPr>
          <w:rFonts w:hint="default"/>
        </w:rPr>
      </w:lvl>
    </w:lvlOverride>
    <w:lvlOverride w:ilvl="7">
      <w:lvl w:ilvl="7">
        <w:start w:val="1"/>
        <w:numFmt w:val="decimal"/>
        <w:lvlRestart w:val="0"/>
        <w:isLgl/>
        <w:lvlText w:val="%1.%2.%3.%4.%5.%6.%7.%8"/>
        <w:lvlJc w:val="right"/>
        <w:pPr>
          <w:ind w:left="2880" w:hanging="360"/>
        </w:pPr>
        <w:rPr>
          <w:rFonts w:hint="default"/>
        </w:rPr>
      </w:lvl>
    </w:lvlOverride>
    <w:lvlOverride w:ilvl="8">
      <w:lvl w:ilvl="8">
        <w:start w:val="1"/>
        <w:numFmt w:val="decimal"/>
        <w:lvlRestart w:val="0"/>
        <w:isLgl/>
        <w:lvlText w:val="%1.%2.%3.%4.%5.%6.%7.%8.%9"/>
        <w:lvlJc w:val="right"/>
        <w:pPr>
          <w:ind w:left="3240" w:hanging="360"/>
        </w:pPr>
        <w:rPr>
          <w:rFonts w:hint="default"/>
        </w:rPr>
      </w:lvl>
    </w:lvlOverride>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5BC"/>
    <w:rsid w:val="0000206A"/>
    <w:rsid w:val="00043699"/>
    <w:rsid w:val="00067FC6"/>
    <w:rsid w:val="00081F9A"/>
    <w:rsid w:val="000965E6"/>
    <w:rsid w:val="000A12EB"/>
    <w:rsid w:val="000B0FDB"/>
    <w:rsid w:val="000D3285"/>
    <w:rsid w:val="000F1787"/>
    <w:rsid w:val="00113EC2"/>
    <w:rsid w:val="001148C6"/>
    <w:rsid w:val="00123D99"/>
    <w:rsid w:val="00127E8D"/>
    <w:rsid w:val="00135928"/>
    <w:rsid w:val="00152770"/>
    <w:rsid w:val="00170F9C"/>
    <w:rsid w:val="0017782E"/>
    <w:rsid w:val="00186E0E"/>
    <w:rsid w:val="001E1D66"/>
    <w:rsid w:val="00201C6A"/>
    <w:rsid w:val="002614F8"/>
    <w:rsid w:val="00270E79"/>
    <w:rsid w:val="00271FF5"/>
    <w:rsid w:val="002B1561"/>
    <w:rsid w:val="002B59EF"/>
    <w:rsid w:val="002C3E7B"/>
    <w:rsid w:val="002D4E94"/>
    <w:rsid w:val="002D7359"/>
    <w:rsid w:val="002E41EC"/>
    <w:rsid w:val="00305F04"/>
    <w:rsid w:val="00335F1E"/>
    <w:rsid w:val="00357A39"/>
    <w:rsid w:val="003834C9"/>
    <w:rsid w:val="003B3815"/>
    <w:rsid w:val="004102F1"/>
    <w:rsid w:val="004266A7"/>
    <w:rsid w:val="0046157C"/>
    <w:rsid w:val="00473114"/>
    <w:rsid w:val="00542564"/>
    <w:rsid w:val="00561AA2"/>
    <w:rsid w:val="005F4E2D"/>
    <w:rsid w:val="005F669B"/>
    <w:rsid w:val="00643097"/>
    <w:rsid w:val="00687E26"/>
    <w:rsid w:val="006A5A9D"/>
    <w:rsid w:val="006E16F1"/>
    <w:rsid w:val="006F2D27"/>
    <w:rsid w:val="006F6962"/>
    <w:rsid w:val="007445BC"/>
    <w:rsid w:val="007920FC"/>
    <w:rsid w:val="00795DBA"/>
    <w:rsid w:val="007A0896"/>
    <w:rsid w:val="007A7437"/>
    <w:rsid w:val="007B5BE7"/>
    <w:rsid w:val="007E18DF"/>
    <w:rsid w:val="008157D3"/>
    <w:rsid w:val="00837B99"/>
    <w:rsid w:val="00870056"/>
    <w:rsid w:val="008A543F"/>
    <w:rsid w:val="008F7A65"/>
    <w:rsid w:val="009203FC"/>
    <w:rsid w:val="009537C1"/>
    <w:rsid w:val="009545F6"/>
    <w:rsid w:val="009C2DE1"/>
    <w:rsid w:val="00A34BA3"/>
    <w:rsid w:val="00A61074"/>
    <w:rsid w:val="00A80746"/>
    <w:rsid w:val="00A87875"/>
    <w:rsid w:val="00A91CE3"/>
    <w:rsid w:val="00AB26BB"/>
    <w:rsid w:val="00B95DF3"/>
    <w:rsid w:val="00C10A16"/>
    <w:rsid w:val="00C82688"/>
    <w:rsid w:val="00D55786"/>
    <w:rsid w:val="00D7057D"/>
    <w:rsid w:val="00DB7828"/>
    <w:rsid w:val="00DD2D40"/>
    <w:rsid w:val="00E125D0"/>
    <w:rsid w:val="00E2682D"/>
    <w:rsid w:val="00E27DA1"/>
    <w:rsid w:val="00E534FE"/>
    <w:rsid w:val="00EA4D64"/>
    <w:rsid w:val="00EC7AB4"/>
    <w:rsid w:val="00ED10DD"/>
    <w:rsid w:val="00F36ACB"/>
    <w:rsid w:val="00F61581"/>
    <w:rsid w:val="00F71F4C"/>
    <w:rsid w:val="00FC52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D03C49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7359"/>
    <w:pPr>
      <w:spacing w:after="0" w:line="240" w:lineRule="auto"/>
    </w:pPr>
    <w:rPr>
      <w:rFonts w:ascii="Palatino Linotype" w:hAnsi="Palatino Linotype"/>
      <w:sz w:val="24"/>
    </w:rPr>
  </w:style>
  <w:style w:type="paragraph" w:styleId="Heading1">
    <w:name w:val="heading 1"/>
    <w:basedOn w:val="Normal"/>
    <w:next w:val="Normal"/>
    <w:link w:val="Heading1Char"/>
    <w:uiPriority w:val="9"/>
    <w:qFormat/>
    <w:rsid w:val="00A80746"/>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52EE"/>
    <w:rPr>
      <w:color w:val="808080"/>
    </w:rPr>
  </w:style>
  <w:style w:type="table" w:styleId="TableGrid">
    <w:name w:val="Table Grid"/>
    <w:basedOn w:val="TableNormal"/>
    <w:uiPriority w:val="39"/>
    <w:rsid w:val="00FC52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01C6A"/>
    <w:pPr>
      <w:ind w:left="720"/>
      <w:contextualSpacing/>
    </w:pPr>
  </w:style>
  <w:style w:type="paragraph" w:customStyle="1" w:styleId="chapterHeaders">
    <w:name w:val="chapterHeaders"/>
    <w:basedOn w:val="Heading1"/>
    <w:qFormat/>
    <w:rsid w:val="002D7359"/>
    <w:pPr>
      <w:numPr>
        <w:numId w:val="8"/>
      </w:numPr>
      <w:spacing w:before="0" w:after="240"/>
      <w:contextualSpacing/>
    </w:pPr>
    <w:rPr>
      <w:rFonts w:ascii="Palatino Linotype" w:hAnsi="Palatino Linotype"/>
      <w:b/>
      <w:color w:val="auto"/>
      <w:sz w:val="24"/>
      <w:szCs w:val="24"/>
    </w:rPr>
  </w:style>
  <w:style w:type="paragraph" w:customStyle="1" w:styleId="customList">
    <w:name w:val="customList"/>
    <w:basedOn w:val="Normal"/>
    <w:qFormat/>
    <w:rsid w:val="003B3815"/>
    <w:pPr>
      <w:widowControl w:val="0"/>
      <w:numPr>
        <w:ilvl w:val="1"/>
        <w:numId w:val="8"/>
      </w:numPr>
      <w:spacing w:after="240"/>
    </w:pPr>
  </w:style>
  <w:style w:type="character" w:customStyle="1" w:styleId="Heading1Char">
    <w:name w:val="Heading 1 Char"/>
    <w:basedOn w:val="DefaultParagraphFont"/>
    <w:link w:val="Heading1"/>
    <w:uiPriority w:val="9"/>
    <w:rsid w:val="00A80746"/>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2D4E9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4E94"/>
    <w:rPr>
      <w:rFonts w:ascii="Segoe UI" w:hAnsi="Segoe UI" w:cs="Segoe UI"/>
      <w:sz w:val="18"/>
      <w:szCs w:val="18"/>
    </w:rPr>
  </w:style>
  <w:style w:type="paragraph" w:styleId="Header">
    <w:name w:val="header"/>
    <w:basedOn w:val="Normal"/>
    <w:link w:val="HeaderChar"/>
    <w:uiPriority w:val="99"/>
    <w:unhideWhenUsed/>
    <w:rsid w:val="002B59EF"/>
    <w:pPr>
      <w:tabs>
        <w:tab w:val="center" w:pos="4680"/>
        <w:tab w:val="right" w:pos="9360"/>
      </w:tabs>
    </w:pPr>
  </w:style>
  <w:style w:type="character" w:customStyle="1" w:styleId="HeaderChar">
    <w:name w:val="Header Char"/>
    <w:basedOn w:val="DefaultParagraphFont"/>
    <w:link w:val="Header"/>
    <w:uiPriority w:val="99"/>
    <w:rsid w:val="002B59EF"/>
    <w:rPr>
      <w:rFonts w:ascii="Palatino Linotype" w:hAnsi="Palatino Linotype"/>
      <w:sz w:val="24"/>
    </w:rPr>
  </w:style>
  <w:style w:type="paragraph" w:styleId="Footer">
    <w:name w:val="footer"/>
    <w:basedOn w:val="Normal"/>
    <w:link w:val="FooterChar"/>
    <w:uiPriority w:val="99"/>
    <w:unhideWhenUsed/>
    <w:rsid w:val="002B59EF"/>
    <w:pPr>
      <w:tabs>
        <w:tab w:val="center" w:pos="4680"/>
        <w:tab w:val="right" w:pos="9360"/>
      </w:tabs>
    </w:pPr>
  </w:style>
  <w:style w:type="character" w:customStyle="1" w:styleId="FooterChar">
    <w:name w:val="Footer Char"/>
    <w:basedOn w:val="DefaultParagraphFont"/>
    <w:link w:val="Footer"/>
    <w:uiPriority w:val="99"/>
    <w:rsid w:val="002B59EF"/>
    <w:rPr>
      <w:rFonts w:ascii="Palatino Linotype" w:hAnsi="Palatino Linotype"/>
      <w:sz w:val="24"/>
    </w:rPr>
  </w:style>
  <w:style w:type="character" w:styleId="CommentReference">
    <w:name w:val="annotation reference"/>
    <w:basedOn w:val="DefaultParagraphFont"/>
    <w:uiPriority w:val="99"/>
    <w:semiHidden/>
    <w:unhideWhenUsed/>
    <w:rsid w:val="006F6962"/>
    <w:rPr>
      <w:sz w:val="16"/>
      <w:szCs w:val="16"/>
    </w:rPr>
  </w:style>
  <w:style w:type="paragraph" w:styleId="CommentText">
    <w:name w:val="annotation text"/>
    <w:basedOn w:val="Normal"/>
    <w:link w:val="CommentTextChar"/>
    <w:uiPriority w:val="99"/>
    <w:semiHidden/>
    <w:unhideWhenUsed/>
    <w:rsid w:val="006F6962"/>
    <w:rPr>
      <w:sz w:val="20"/>
      <w:szCs w:val="20"/>
    </w:rPr>
  </w:style>
  <w:style w:type="character" w:customStyle="1" w:styleId="CommentTextChar">
    <w:name w:val="Comment Text Char"/>
    <w:basedOn w:val="DefaultParagraphFont"/>
    <w:link w:val="CommentText"/>
    <w:uiPriority w:val="99"/>
    <w:semiHidden/>
    <w:rsid w:val="006F6962"/>
    <w:rPr>
      <w:rFonts w:ascii="Palatino Linotype" w:hAnsi="Palatino Linotype"/>
      <w:sz w:val="20"/>
      <w:szCs w:val="20"/>
    </w:rPr>
  </w:style>
  <w:style w:type="paragraph" w:styleId="CommentSubject">
    <w:name w:val="annotation subject"/>
    <w:basedOn w:val="CommentText"/>
    <w:next w:val="CommentText"/>
    <w:link w:val="CommentSubjectChar"/>
    <w:uiPriority w:val="99"/>
    <w:semiHidden/>
    <w:unhideWhenUsed/>
    <w:rsid w:val="006F6962"/>
    <w:rPr>
      <w:b/>
      <w:bCs/>
    </w:rPr>
  </w:style>
  <w:style w:type="character" w:customStyle="1" w:styleId="CommentSubjectChar">
    <w:name w:val="Comment Subject Char"/>
    <w:basedOn w:val="CommentTextChar"/>
    <w:link w:val="CommentSubject"/>
    <w:uiPriority w:val="99"/>
    <w:semiHidden/>
    <w:rsid w:val="006F6962"/>
    <w:rPr>
      <w:rFonts w:ascii="Palatino Linotype" w:hAnsi="Palatino Linotype"/>
      <w:b/>
      <w:bCs/>
      <w:sz w:val="20"/>
      <w:szCs w:val="20"/>
    </w:rPr>
  </w:style>
  <w:style w:type="character" w:styleId="Hyperlink">
    <w:name w:val="Hyperlink"/>
    <w:basedOn w:val="DefaultParagraphFont"/>
    <w:uiPriority w:val="99"/>
    <w:unhideWhenUsed/>
    <w:rsid w:val="002E41E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humanresources.dixie.edu/benefit-form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A1CD79452D044FC9551BC7A8061DF14"/>
        <w:category>
          <w:name w:val="General"/>
          <w:gallery w:val="placeholder"/>
        </w:category>
        <w:types>
          <w:type w:val="bbPlcHdr"/>
        </w:types>
        <w:behaviors>
          <w:behavior w:val="content"/>
        </w:behaviors>
        <w:guid w:val="{6F2EC37F-826D-4490-9904-D40003A8DA92}"/>
      </w:docPartPr>
      <w:docPartBody>
        <w:p w:rsidR="003B5B86" w:rsidRDefault="00D216BC">
          <w:r w:rsidRPr="00765A9C">
            <w:rPr>
              <w:rStyle w:val="PlaceholderText"/>
            </w:rPr>
            <w:t>[Title]</w:t>
          </w:r>
        </w:p>
      </w:docPartBody>
    </w:docPart>
    <w:docPart>
      <w:docPartPr>
        <w:name w:val="F9F5BF8304784D95840FCE870D9D425C"/>
        <w:category>
          <w:name w:val="General"/>
          <w:gallery w:val="placeholder"/>
        </w:category>
        <w:types>
          <w:type w:val="bbPlcHdr"/>
        </w:types>
        <w:behaviors>
          <w:behavior w:val="content"/>
        </w:behaviors>
        <w:guid w:val="{563E14EA-885A-4FB8-9C65-4F58D887579B}"/>
      </w:docPartPr>
      <w:docPartBody>
        <w:p w:rsidR="00632409" w:rsidRDefault="0094531C">
          <w:r w:rsidRPr="00CE043B">
            <w:rPr>
              <w:rStyle w:val="PlaceholderText"/>
            </w:rPr>
            <w:t>[#]</w:t>
          </w:r>
        </w:p>
      </w:docPartBody>
    </w:docPart>
    <w:docPart>
      <w:docPartPr>
        <w:name w:val="0D06102D4EB04BAFA634E4B4CB3BF370"/>
        <w:category>
          <w:name w:val="General"/>
          <w:gallery w:val="placeholder"/>
        </w:category>
        <w:types>
          <w:type w:val="bbPlcHdr"/>
        </w:types>
        <w:behaviors>
          <w:behavior w:val="content"/>
        </w:behaviors>
        <w:guid w:val="{7A9B5957-3A6B-4541-BBB7-AE96BAA195A0}"/>
      </w:docPartPr>
      <w:docPartBody>
        <w:p w:rsidR="00632409" w:rsidRDefault="0094531C">
          <w:r w:rsidRPr="00CE043B">
            <w:rPr>
              <w:rStyle w:val="PlaceholderText"/>
            </w:rPr>
            <w:t>[Title]</w:t>
          </w:r>
        </w:p>
      </w:docPartBody>
    </w:docPart>
    <w:docPart>
      <w:docPartPr>
        <w:name w:val="DDDA40C794A94D63A1621CF39DEA788B"/>
        <w:category>
          <w:name w:val="General"/>
          <w:gallery w:val="placeholder"/>
        </w:category>
        <w:types>
          <w:type w:val="bbPlcHdr"/>
        </w:types>
        <w:behaviors>
          <w:behavior w:val="content"/>
        </w:behaviors>
        <w:guid w:val="{A03BAC91-086F-4232-8CC9-B6C1CFBD324A}"/>
      </w:docPartPr>
      <w:docPartBody>
        <w:p w:rsidR="00632409" w:rsidRDefault="0094531C">
          <w:r w:rsidRPr="00CE043B">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6BC"/>
    <w:rsid w:val="00271FAC"/>
    <w:rsid w:val="00375460"/>
    <w:rsid w:val="003B5B86"/>
    <w:rsid w:val="00632409"/>
    <w:rsid w:val="006A5CBC"/>
    <w:rsid w:val="0094531C"/>
    <w:rsid w:val="00AF5677"/>
    <w:rsid w:val="00D216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4531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06E778D62EC34AAD0BA45BD7AAA8C9" ma:contentTypeVersion="0" ma:contentTypeDescription="Create a new document." ma:contentTypeScope="" ma:versionID="9587b6965b5d5f5b9d63ab672690840b">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1C8DB3-53AE-464E-A87C-549AF6FF12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5FAEA30-77C9-4988-933F-D267F444FB6A}">
  <ds:schemaRefs>
    <ds:schemaRef ds:uri="http://schemas.microsoft.com/sharepoint/v3/contenttype/forms"/>
  </ds:schemaRefs>
</ds:datastoreItem>
</file>

<file path=customXml/itemProps3.xml><?xml version="1.0" encoding="utf-8"?>
<ds:datastoreItem xmlns:ds="http://schemas.openxmlformats.org/officeDocument/2006/customXml" ds:itemID="{E288DCD6-C93E-43ED-BE40-38F8BC67857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4CC26AD-C585-4495-9839-11A92275B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1724</Words>
  <Characters>9832</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Family and Medical Leave</vt:lpstr>
    </vt:vector>
  </TitlesOfParts>
  <Company/>
  <LinksUpToDate>false</LinksUpToDate>
  <CharactersWithSpaces>11533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and Medical Leave</dc:title>
  <dc:subject/>
  <dc:creator/>
  <cp:keywords/>
  <dc:description/>
  <cp:lastModifiedBy/>
  <cp:revision>1</cp:revision>
  <dcterms:created xsi:type="dcterms:W3CDTF">2019-07-31T20:54:00Z</dcterms:created>
  <dcterms:modified xsi:type="dcterms:W3CDTF">2019-07-31T20:56:00Z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0x010100B806E778D62EC34AAD0BA45BD7AAA8C9</vt:lpwstr>
  </property>
</Properties>
</file>